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61" w:rsidRPr="00CD5861" w:rsidRDefault="00CD5861" w:rsidP="00CD5861">
      <w:pPr>
        <w:jc w:val="center"/>
        <w:rPr>
          <w:b/>
          <w:bCs/>
          <w:color w:val="00000F"/>
          <w:u w:val="single"/>
        </w:rPr>
      </w:pPr>
      <w:bookmarkStart w:id="0" w:name="OLE_LINK5"/>
      <w:bookmarkStart w:id="1" w:name="OLE_LINK6"/>
      <w:r>
        <w:rPr>
          <w:b/>
          <w:bCs/>
          <w:color w:val="00000F"/>
          <w:u w:val="single"/>
        </w:rPr>
        <w:t>ROLE OF THE BROKER</w:t>
      </w:r>
      <w:r w:rsidRPr="00CD5861">
        <w:rPr>
          <w:b/>
          <w:bCs/>
          <w:color w:val="00000F"/>
          <w:u w:val="single"/>
        </w:rPr>
        <w:t xml:space="preserve"> </w:t>
      </w:r>
    </w:p>
    <w:p w:rsidR="00CD5861" w:rsidRDefault="00CD5861" w:rsidP="00CD5861">
      <w:pPr>
        <w:jc w:val="center"/>
        <w:rPr>
          <w:b/>
          <w:bCs/>
          <w:color w:val="00000F"/>
        </w:rPr>
      </w:pPr>
      <w:r w:rsidRPr="00CD5861">
        <w:rPr>
          <w:b/>
          <w:bCs/>
          <w:color w:val="00000F"/>
        </w:rPr>
        <w:t xml:space="preserve">Government Report for </w:t>
      </w:r>
      <w:r w:rsidR="009C226F">
        <w:rPr>
          <w:b/>
          <w:bCs/>
          <w:color w:val="00000F"/>
        </w:rPr>
        <w:t>May 22nd</w:t>
      </w:r>
      <w:r w:rsidRPr="00CD5861">
        <w:rPr>
          <w:b/>
          <w:bCs/>
          <w:color w:val="00000F"/>
        </w:rPr>
        <w:t xml:space="preserve"> COAC Quarterly Meeting</w:t>
      </w:r>
    </w:p>
    <w:p w:rsidR="00BB7F56" w:rsidRDefault="00BB7F56" w:rsidP="00CD5861">
      <w:pPr>
        <w:jc w:val="center"/>
        <w:rPr>
          <w:b/>
          <w:bCs/>
          <w:color w:val="00000F"/>
        </w:rPr>
      </w:pPr>
      <w:r>
        <w:rPr>
          <w:b/>
          <w:bCs/>
          <w:color w:val="00000F"/>
        </w:rPr>
        <w:t>Office of International Trade (OT)</w:t>
      </w:r>
    </w:p>
    <w:p w:rsidR="003A556A" w:rsidRPr="00CD5861" w:rsidRDefault="003A556A" w:rsidP="00CD5861">
      <w:pPr>
        <w:jc w:val="center"/>
        <w:rPr>
          <w:b/>
          <w:bCs/>
          <w:color w:val="00000F"/>
        </w:rPr>
      </w:pPr>
      <w:r>
        <w:rPr>
          <w:b/>
          <w:bCs/>
          <w:color w:val="00000F"/>
        </w:rPr>
        <w:t>For Public Distribution</w:t>
      </w:r>
    </w:p>
    <w:p w:rsidR="00CD5861" w:rsidRPr="00CD5861" w:rsidRDefault="00CD5861" w:rsidP="00CD5861">
      <w:pPr>
        <w:jc w:val="center"/>
        <w:rPr>
          <w:b/>
          <w:bCs/>
          <w:color w:val="00000F"/>
        </w:rPr>
      </w:pPr>
      <w:r w:rsidRPr="00CD5861">
        <w:rPr>
          <w:b/>
          <w:bCs/>
          <w:color w:val="00000F"/>
        </w:rPr>
        <w:t xml:space="preserve">                         </w:t>
      </w:r>
    </w:p>
    <w:bookmarkEnd w:id="0"/>
    <w:bookmarkEnd w:id="1"/>
    <w:p w:rsidR="0035528F" w:rsidRPr="0035528F" w:rsidRDefault="0035528F" w:rsidP="0035528F">
      <w:pPr>
        <w:rPr>
          <w:b/>
          <w:color w:val="00000F"/>
          <w:u w:val="single"/>
        </w:rPr>
      </w:pPr>
      <w:r w:rsidRPr="0035528F">
        <w:rPr>
          <w:b/>
          <w:color w:val="00000F"/>
          <w:u w:val="single"/>
        </w:rPr>
        <w:t xml:space="preserve">CURRENT STATUS </w:t>
      </w:r>
    </w:p>
    <w:p w:rsidR="00E71687" w:rsidRDefault="00E71687" w:rsidP="0035528F">
      <w:pPr>
        <w:rPr>
          <w:color w:val="00000F"/>
        </w:rPr>
      </w:pPr>
    </w:p>
    <w:p w:rsidR="008B3FB1" w:rsidRPr="008B3FB1" w:rsidRDefault="008B3FB1" w:rsidP="008B3FB1">
      <w:pPr>
        <w:ind w:right="720"/>
        <w:rPr>
          <w:color w:val="00000F"/>
        </w:rPr>
      </w:pPr>
      <w:r w:rsidRPr="008B3FB1">
        <w:rPr>
          <w:color w:val="00000F"/>
        </w:rPr>
        <w:t>From March through May 2014, CBP and the Role of the Broker Working Group continued discussions on modernization of broker permitting.  The COAC Broker Working Group has agreed to provide the following recommendations to CBP:</w:t>
      </w:r>
    </w:p>
    <w:p w:rsidR="008B3FB1" w:rsidRPr="008B3FB1" w:rsidRDefault="008B3FB1" w:rsidP="008B3FB1">
      <w:pPr>
        <w:ind w:right="720"/>
        <w:rPr>
          <w:color w:val="00000F"/>
        </w:rPr>
      </w:pPr>
    </w:p>
    <w:p w:rsidR="008B3FB1" w:rsidRPr="008B3FB1" w:rsidRDefault="008B3FB1" w:rsidP="008B3FB1">
      <w:pPr>
        <w:numPr>
          <w:ilvl w:val="0"/>
          <w:numId w:val="33"/>
        </w:numPr>
        <w:ind w:right="720"/>
        <w:rPr>
          <w:color w:val="00000F"/>
        </w:rPr>
      </w:pPr>
      <w:bookmarkStart w:id="2" w:name="OLE_LINK1"/>
      <w:bookmarkStart w:id="3" w:name="OLE_LINK2"/>
      <w:bookmarkStart w:id="4" w:name="_GoBack"/>
      <w:r w:rsidRPr="008B3FB1">
        <w:rPr>
          <w:color w:val="00000F"/>
        </w:rPr>
        <w:t>COAC recommends that CBP enable brokers to operate through a single, national permit, eliminating the current district permitting requirement.   COAC understands that CBP must modernize its permitting framework for Customs brokers to align broker permitting with the challenges and opportunities of 21</w:t>
      </w:r>
      <w:r w:rsidRPr="008B3FB1">
        <w:rPr>
          <w:color w:val="00000F"/>
          <w:vertAlign w:val="superscript"/>
        </w:rPr>
        <w:t>st</w:t>
      </w:r>
      <w:r w:rsidRPr="008B3FB1">
        <w:rPr>
          <w:color w:val="00000F"/>
        </w:rPr>
        <w:t xml:space="preserve"> century electronic entry processing through such programs such as Automated Commercial Environment (ACE), Remote Location Filing (RLF), the Centers of Excellence and Expertise (CEE) and </w:t>
      </w:r>
      <w:proofErr w:type="spellStart"/>
      <w:r w:rsidRPr="008B3FB1">
        <w:rPr>
          <w:color w:val="00000F"/>
        </w:rPr>
        <w:t>eBonds</w:t>
      </w:r>
      <w:proofErr w:type="spellEnd"/>
      <w:r w:rsidRPr="008B3FB1">
        <w:rPr>
          <w:color w:val="00000F"/>
        </w:rPr>
        <w:t xml:space="preserve">.   </w:t>
      </w:r>
    </w:p>
    <w:p w:rsidR="008B3FB1" w:rsidRPr="008B3FB1" w:rsidRDefault="008B3FB1" w:rsidP="008B3FB1">
      <w:pPr>
        <w:ind w:right="720"/>
        <w:rPr>
          <w:b/>
          <w:color w:val="00000F"/>
        </w:rPr>
      </w:pPr>
    </w:p>
    <w:p w:rsidR="008B3FB1" w:rsidRPr="008B3FB1" w:rsidRDefault="008B3FB1" w:rsidP="008B3FB1">
      <w:pPr>
        <w:numPr>
          <w:ilvl w:val="0"/>
          <w:numId w:val="33"/>
        </w:numPr>
        <w:ind w:right="720"/>
        <w:rPr>
          <w:color w:val="00000F"/>
        </w:rPr>
      </w:pPr>
      <w:r w:rsidRPr="008B3FB1">
        <w:rPr>
          <w:color w:val="00000F"/>
        </w:rPr>
        <w:t xml:space="preserve">COAC recommends that CBP engage the COAC and all stakeholders as soon as possible to review the existing Customs broker management process, related  informed compliance publications and broker handbooks to ensure a modern, national broker management process is developed and implemented prior to CBP moving forward with the proposed change in the broker national permitting framework.  COAC recognizes that today’s current broker management process does not support a new national permitting framework.  </w:t>
      </w:r>
    </w:p>
    <w:p w:rsidR="008B3FB1" w:rsidRPr="008B3FB1" w:rsidRDefault="008B3FB1" w:rsidP="008B3FB1">
      <w:pPr>
        <w:ind w:right="720"/>
        <w:rPr>
          <w:color w:val="00000F"/>
        </w:rPr>
      </w:pPr>
    </w:p>
    <w:p w:rsidR="008B3FB1" w:rsidRPr="008B3FB1" w:rsidRDefault="008B3FB1" w:rsidP="008B3FB1">
      <w:pPr>
        <w:numPr>
          <w:ilvl w:val="0"/>
          <w:numId w:val="33"/>
        </w:numPr>
        <w:ind w:right="720"/>
        <w:rPr>
          <w:color w:val="00000F"/>
        </w:rPr>
      </w:pPr>
      <w:r w:rsidRPr="008B3FB1">
        <w:rPr>
          <w:color w:val="00000F"/>
        </w:rPr>
        <w:t xml:space="preserve">COAC recommends that the new national permit framework include requirements that Customs brokerage firms employ an adequate number of licensed brokers to ensure responsible supervision and control over their Customs business and that CBP work with the appropriate stakeholder groups to define these new supervision and control requirements and provide the COAC an opportunity to comment on any new framework before implementation.  COAC understands the value the Customs broker license brings to CBP and the importing community.  </w:t>
      </w:r>
    </w:p>
    <w:bookmarkEnd w:id="2"/>
    <w:bookmarkEnd w:id="3"/>
    <w:bookmarkEnd w:id="4"/>
    <w:p w:rsidR="008B3FB1" w:rsidRDefault="008B3FB1" w:rsidP="008B3FB1">
      <w:pPr>
        <w:ind w:right="720"/>
        <w:rPr>
          <w:color w:val="00000F"/>
        </w:rPr>
      </w:pPr>
    </w:p>
    <w:p w:rsidR="00A659AC" w:rsidRDefault="000322C4" w:rsidP="008B3FB1">
      <w:pPr>
        <w:ind w:right="720"/>
        <w:rPr>
          <w:color w:val="00000F"/>
        </w:rPr>
      </w:pPr>
      <w:r w:rsidRPr="00233EC7">
        <w:rPr>
          <w:color w:val="00000F"/>
        </w:rPr>
        <w:t xml:space="preserve">CBP </w:t>
      </w:r>
      <w:r>
        <w:rPr>
          <w:color w:val="00000F"/>
        </w:rPr>
        <w:t>appreciates COAC’s substantial efforts to formulate the national permitting recommendation, and looks forward to working with COAC and other stakeholders on their proposed changes to broker management in advance of implementing a new national permitting framework.</w:t>
      </w:r>
    </w:p>
    <w:p w:rsidR="000322C4" w:rsidRDefault="000322C4" w:rsidP="008B3FB1">
      <w:pPr>
        <w:ind w:right="720"/>
        <w:rPr>
          <w:color w:val="00000F"/>
        </w:rPr>
      </w:pPr>
    </w:p>
    <w:p w:rsidR="00A659AC" w:rsidRDefault="00D4443A" w:rsidP="008B3FB1">
      <w:pPr>
        <w:ind w:right="720"/>
        <w:rPr>
          <w:color w:val="00000F"/>
        </w:rPr>
      </w:pPr>
      <w:r w:rsidRPr="00D4443A">
        <w:rPr>
          <w:color w:val="00000F"/>
        </w:rPr>
        <w:t xml:space="preserve">The COAC Role of the Broker Working Group is considering making revised recommendations on importer </w:t>
      </w:r>
      <w:r w:rsidRPr="00D4443A">
        <w:rPr>
          <w:i/>
          <w:color w:val="00000F"/>
        </w:rPr>
        <w:t>bona fides</w:t>
      </w:r>
      <w:r w:rsidRPr="00D4443A">
        <w:rPr>
          <w:color w:val="00000F"/>
        </w:rPr>
        <w:t xml:space="preserve"> prior at the May COAC meeting, but nothing is final at this time.  </w:t>
      </w:r>
    </w:p>
    <w:p w:rsidR="00D4443A" w:rsidRPr="008B3FB1" w:rsidRDefault="00D4443A" w:rsidP="008B3FB1">
      <w:pPr>
        <w:ind w:right="720"/>
        <w:rPr>
          <w:color w:val="00000F"/>
        </w:rPr>
      </w:pPr>
    </w:p>
    <w:p w:rsidR="00D4443A" w:rsidRDefault="00D4443A">
      <w:pPr>
        <w:rPr>
          <w:b/>
          <w:color w:val="00000F"/>
          <w:u w:val="single"/>
        </w:rPr>
      </w:pPr>
      <w:r>
        <w:rPr>
          <w:b/>
          <w:color w:val="00000F"/>
          <w:u w:val="single"/>
        </w:rPr>
        <w:br w:type="page"/>
      </w:r>
    </w:p>
    <w:p w:rsidR="0035528F" w:rsidRPr="00E06909" w:rsidRDefault="008A6C3D" w:rsidP="0035528F">
      <w:pPr>
        <w:rPr>
          <w:b/>
          <w:color w:val="00000F"/>
          <w:u w:val="single"/>
        </w:rPr>
      </w:pPr>
      <w:r>
        <w:rPr>
          <w:b/>
          <w:color w:val="00000F"/>
          <w:u w:val="single"/>
        </w:rPr>
        <w:lastRenderedPageBreak/>
        <w:t>BACKGROUND</w:t>
      </w:r>
    </w:p>
    <w:p w:rsidR="0035528F" w:rsidRPr="0035528F" w:rsidRDefault="0035528F" w:rsidP="0035528F">
      <w:pPr>
        <w:rPr>
          <w:color w:val="00000F"/>
        </w:rPr>
      </w:pPr>
    </w:p>
    <w:p w:rsidR="00EA05E0" w:rsidRPr="00EA05E0" w:rsidRDefault="00EA05E0" w:rsidP="00EA05E0">
      <w:pPr>
        <w:rPr>
          <w:color w:val="00000F"/>
        </w:rPr>
      </w:pPr>
      <w:r w:rsidRPr="00EA05E0">
        <w:rPr>
          <w:color w:val="00000F"/>
        </w:rPr>
        <w:t>In 2012, the following Role of the Broker trade transformation initiative elements were completed: automation of broker exam registration, transformation of broker licensing to incorporate more efficient background investigations, and automated application and payment processes.</w:t>
      </w:r>
    </w:p>
    <w:p w:rsidR="00EA05E0" w:rsidRPr="00EA05E0" w:rsidRDefault="00EA05E0" w:rsidP="00EA05E0">
      <w:pPr>
        <w:rPr>
          <w:color w:val="00000F"/>
        </w:rPr>
      </w:pPr>
    </w:p>
    <w:p w:rsidR="00EA05E0" w:rsidRPr="00EA05E0" w:rsidRDefault="00EA05E0" w:rsidP="00EA05E0">
      <w:pPr>
        <w:rPr>
          <w:color w:val="00000F"/>
        </w:rPr>
      </w:pPr>
      <w:r w:rsidRPr="00EA05E0">
        <w:rPr>
          <w:color w:val="00000F"/>
        </w:rPr>
        <w:t xml:space="preserve">CBP is still in need of one key element of the trade transformation initiative: an overhaul of the regulations contained in 19 CFR Part 111 and 141.  </w:t>
      </w:r>
    </w:p>
    <w:p w:rsidR="008B3FB1" w:rsidRDefault="008B3FB1" w:rsidP="00EA05E0">
      <w:pPr>
        <w:rPr>
          <w:color w:val="00000F"/>
        </w:rPr>
      </w:pPr>
    </w:p>
    <w:p w:rsidR="00EA05E0" w:rsidRPr="00EA05E0" w:rsidRDefault="00EA05E0" w:rsidP="00EA05E0">
      <w:pPr>
        <w:rPr>
          <w:color w:val="00000F"/>
        </w:rPr>
      </w:pPr>
      <w:r w:rsidRPr="00EA05E0">
        <w:rPr>
          <w:color w:val="00000F"/>
        </w:rPr>
        <w:t xml:space="preserve">The Regulatory Revision Workgroup was established in 2011 by CBP, in partnership with the National Customs Brokers and Forwarders Association of America (NCBFAA), to work collaboratively to develop solutions to meet the challenges of 21st Century commerce as it relates to brokers’ vital role. Additionally, the COAC Role of the Broker subcommittee submitted a position paper in October 2011 outlining 17 recommendations for CBP to consider. Among these recommendations was a statement that CBP should recognize the broker’s role as a communicator and force multiplier to increase compliance, especially for small- and medium-sized importers. The COAC Role of the Broker subcommittee submitted a position paper in December 2012 that supported the CBP outreach efforts in the summer and fall of 2012. </w:t>
      </w:r>
    </w:p>
    <w:p w:rsidR="00EA05E0" w:rsidRPr="00EA05E0" w:rsidRDefault="00EA05E0" w:rsidP="00EA05E0">
      <w:pPr>
        <w:rPr>
          <w:color w:val="00000F"/>
        </w:rPr>
      </w:pPr>
    </w:p>
    <w:p w:rsidR="00EA05E0" w:rsidRPr="00EA05E0" w:rsidRDefault="00EA05E0" w:rsidP="00EA05E0">
      <w:pPr>
        <w:rPr>
          <w:color w:val="00000F"/>
        </w:rPr>
      </w:pPr>
      <w:r w:rsidRPr="00EA05E0">
        <w:rPr>
          <w:color w:val="00000F"/>
        </w:rPr>
        <w:t>In August 2013, the COAC Role of the Broker Subcommittee made two recommendations to CBP relating to continuing education:</w:t>
      </w:r>
    </w:p>
    <w:p w:rsidR="00EA05E0" w:rsidRPr="00EA05E0" w:rsidRDefault="00EA05E0" w:rsidP="00EA05E0">
      <w:pPr>
        <w:numPr>
          <w:ilvl w:val="0"/>
          <w:numId w:val="31"/>
        </w:numPr>
        <w:rPr>
          <w:color w:val="00000F"/>
        </w:rPr>
      </w:pPr>
      <w:r w:rsidRPr="00EA05E0">
        <w:rPr>
          <w:color w:val="00000F"/>
        </w:rPr>
        <w:t xml:space="preserve">The continuing education component to the customs broker’s license should be a minimum of 40 hours (32 accredited and 8 non-accredited hours) over the 36 month reporting period.  CBP should take a measured and commercially reasonable approach to the 40 hours continuing education requirement for customs brokers wishing to reactivate a license that is inactive. </w:t>
      </w:r>
    </w:p>
    <w:p w:rsidR="00EA05E0" w:rsidRPr="00EA05E0" w:rsidRDefault="00EA05E0" w:rsidP="00EA05E0">
      <w:pPr>
        <w:numPr>
          <w:ilvl w:val="0"/>
          <w:numId w:val="31"/>
        </w:numPr>
        <w:rPr>
          <w:color w:val="00000F"/>
        </w:rPr>
      </w:pPr>
      <w:r w:rsidRPr="00EA05E0">
        <w:rPr>
          <w:color w:val="00000F"/>
        </w:rPr>
        <w:t>The reporting of continuing education should be tied into the triennial reporting of the licensed customs broker.  It is further recommended that the reporting of the license holder and the reporting of continuing education be done together in ACE, making compliance easier for customs brokers.</w:t>
      </w:r>
    </w:p>
    <w:p w:rsidR="00EA05E0" w:rsidRPr="00EA05E0" w:rsidRDefault="00EA05E0" w:rsidP="00EA05E0">
      <w:pPr>
        <w:rPr>
          <w:color w:val="00000F"/>
        </w:rPr>
      </w:pPr>
    </w:p>
    <w:p w:rsidR="00EA05E0" w:rsidRPr="00EA05E0" w:rsidRDefault="00EA05E0" w:rsidP="00EA05E0">
      <w:pPr>
        <w:rPr>
          <w:color w:val="00000F"/>
        </w:rPr>
      </w:pPr>
      <w:r w:rsidRPr="00EA05E0">
        <w:rPr>
          <w:color w:val="00000F"/>
        </w:rPr>
        <w:t xml:space="preserve">Beginning in July 2013, the Role of the Broker Working Group met to discuss possible recommendations on importer </w:t>
      </w:r>
      <w:r w:rsidRPr="00EA05E0">
        <w:rPr>
          <w:i/>
          <w:color w:val="00000F"/>
        </w:rPr>
        <w:t>bona fides</w:t>
      </w:r>
      <w:r w:rsidRPr="00EA05E0">
        <w:rPr>
          <w:color w:val="00000F"/>
        </w:rPr>
        <w:t xml:space="preserve">.  The discussions within the working group have been centered on what documentation is of significant value to this purpose and is readily available to the importer which they can provide to the customs broker, and that the customs broker, in turn, can furnish to CBP upon request. CBP has made very clear to the working group that the role of the customs brokers in obtaining </w:t>
      </w:r>
      <w:r w:rsidRPr="00EA05E0">
        <w:rPr>
          <w:i/>
          <w:color w:val="00000F"/>
        </w:rPr>
        <w:t>bona fides</w:t>
      </w:r>
      <w:r w:rsidRPr="00EA05E0">
        <w:rPr>
          <w:color w:val="00000F"/>
        </w:rPr>
        <w:t xml:space="preserve"> is not to vet the importer, but to establish the identity of the authorized individual and their relationship to the importer of record.  An example </w:t>
      </w:r>
      <w:proofErr w:type="gramStart"/>
      <w:r w:rsidRPr="00EA05E0">
        <w:rPr>
          <w:color w:val="00000F"/>
        </w:rPr>
        <w:t>of a</w:t>
      </w:r>
      <w:proofErr w:type="gramEnd"/>
      <w:r w:rsidRPr="00EA05E0">
        <w:rPr>
          <w:color w:val="00000F"/>
        </w:rPr>
        <w:t xml:space="preserve"> logical </w:t>
      </w:r>
      <w:r w:rsidRPr="00EA05E0">
        <w:rPr>
          <w:i/>
          <w:color w:val="00000F"/>
        </w:rPr>
        <w:t>bona fides</w:t>
      </w:r>
      <w:r w:rsidRPr="00EA05E0">
        <w:rPr>
          <w:color w:val="00000F"/>
        </w:rPr>
        <w:t xml:space="preserve"> might be a government-issued photo identification of the authorized individual who was empowered to sign the Power of Attorney.  </w:t>
      </w:r>
    </w:p>
    <w:p w:rsidR="00EA05E0" w:rsidRPr="00EA05E0" w:rsidRDefault="00EA05E0" w:rsidP="00EA05E0">
      <w:pPr>
        <w:rPr>
          <w:color w:val="00000F"/>
        </w:rPr>
      </w:pPr>
    </w:p>
    <w:p w:rsidR="00D4443A" w:rsidRDefault="00D4443A">
      <w:pPr>
        <w:rPr>
          <w:color w:val="00000F"/>
        </w:rPr>
      </w:pPr>
      <w:r>
        <w:rPr>
          <w:color w:val="00000F"/>
        </w:rPr>
        <w:br w:type="page"/>
      </w:r>
    </w:p>
    <w:p w:rsidR="00EA05E0" w:rsidRPr="00EA05E0" w:rsidRDefault="00EA05E0" w:rsidP="00EA05E0">
      <w:pPr>
        <w:rPr>
          <w:color w:val="00000F"/>
        </w:rPr>
      </w:pPr>
      <w:r w:rsidRPr="00EA05E0">
        <w:rPr>
          <w:color w:val="00000F"/>
        </w:rPr>
        <w:lastRenderedPageBreak/>
        <w:t>In November 2013, COAC made the recommendations appearing below to CBP:</w:t>
      </w:r>
    </w:p>
    <w:p w:rsidR="00EA05E0" w:rsidRPr="00EA05E0" w:rsidRDefault="00EA05E0" w:rsidP="00EA05E0">
      <w:pPr>
        <w:numPr>
          <w:ilvl w:val="0"/>
          <w:numId w:val="31"/>
        </w:numPr>
        <w:rPr>
          <w:color w:val="00000F"/>
        </w:rPr>
      </w:pPr>
      <w:r w:rsidRPr="00EA05E0">
        <w:rPr>
          <w:color w:val="00000F"/>
        </w:rPr>
        <w:t xml:space="preserve">Modify 19 CFR section 111.36 (c) to require that brokers to obtain a power of attorney directly from the importer.  Nothing should prevent the broker from communicating directly with the importer. </w:t>
      </w:r>
    </w:p>
    <w:p w:rsidR="00EA05E0" w:rsidRPr="00EA05E0" w:rsidRDefault="00EA05E0" w:rsidP="00EA05E0">
      <w:pPr>
        <w:numPr>
          <w:ilvl w:val="0"/>
          <w:numId w:val="31"/>
        </w:numPr>
        <w:rPr>
          <w:color w:val="00000F"/>
        </w:rPr>
      </w:pPr>
      <w:r w:rsidRPr="00EA05E0">
        <w:rPr>
          <w:color w:val="00000F"/>
        </w:rPr>
        <w:t xml:space="preserve">Recommend that CBP continue to pursue information collection to improve their admissibility determination via the proposed revisions to the CBP Form 5106. CBP should continue to consult with COAC to finalize 5106 information requirements and the collection process. This could be helpful to CBP in addressing risks associated with traditional challenges related to AD/CVD, IPR, and other enforcement issues. </w:t>
      </w:r>
    </w:p>
    <w:p w:rsidR="00EA05E0" w:rsidRPr="00EA05E0" w:rsidRDefault="00EA05E0" w:rsidP="00EA05E0">
      <w:pPr>
        <w:numPr>
          <w:ilvl w:val="0"/>
          <w:numId w:val="31"/>
        </w:numPr>
        <w:rPr>
          <w:color w:val="00000F"/>
        </w:rPr>
      </w:pPr>
      <w:r w:rsidRPr="00EA05E0">
        <w:rPr>
          <w:color w:val="00000F"/>
        </w:rPr>
        <w:t xml:space="preserve">Realizing that different brokers have different best practices for different business models, we recommend that CBP develop a program to recognize best practices within the broker industry and provide benefits to these brokers. These best practices may include power of attorney collection and validation. We expect that the specific benefits will be discussed during future COAC meetings. </w:t>
      </w:r>
    </w:p>
    <w:p w:rsidR="00EA05E0" w:rsidRPr="00EA05E0" w:rsidRDefault="00EA05E0" w:rsidP="00EA05E0">
      <w:pPr>
        <w:numPr>
          <w:ilvl w:val="0"/>
          <w:numId w:val="31"/>
        </w:numPr>
        <w:rPr>
          <w:color w:val="00000F"/>
        </w:rPr>
      </w:pPr>
      <w:r w:rsidRPr="00EA05E0">
        <w:rPr>
          <w:color w:val="00000F"/>
        </w:rPr>
        <w:t xml:space="preserve">Given that the proposed changes to the CBP Form 5106 will address many of the concerns surrounding validation of </w:t>
      </w:r>
      <w:r w:rsidRPr="00D4443A">
        <w:rPr>
          <w:i/>
          <w:color w:val="00000F"/>
        </w:rPr>
        <w:t>bona fides</w:t>
      </w:r>
      <w:r w:rsidRPr="00EA05E0">
        <w:rPr>
          <w:color w:val="00000F"/>
        </w:rPr>
        <w:t>, we recommend no changes be made at this time to the current regulations regarding the collection of a valid power of attorney. We will revisit this recommendation after the proposed 5106 changes have been reviewed by COAC.</w:t>
      </w:r>
    </w:p>
    <w:p w:rsidR="00EA05E0" w:rsidRDefault="00EA05E0" w:rsidP="00EA05E0">
      <w:pPr>
        <w:rPr>
          <w:color w:val="00000F"/>
        </w:rPr>
      </w:pPr>
    </w:p>
    <w:p w:rsidR="00982586" w:rsidRPr="00982586" w:rsidRDefault="00982586" w:rsidP="00982586">
      <w:pPr>
        <w:rPr>
          <w:i/>
          <w:color w:val="00000F"/>
        </w:rPr>
      </w:pPr>
      <w:r w:rsidRPr="00982586">
        <w:rPr>
          <w:i/>
          <w:color w:val="00000F"/>
        </w:rPr>
        <w:t>Regulatory Overhaul</w:t>
      </w:r>
    </w:p>
    <w:p w:rsidR="00982586" w:rsidRPr="00982586" w:rsidRDefault="00982586" w:rsidP="00982586">
      <w:pPr>
        <w:rPr>
          <w:color w:val="00000F"/>
        </w:rPr>
      </w:pPr>
    </w:p>
    <w:p w:rsidR="00982586" w:rsidRPr="00982586" w:rsidRDefault="00982586" w:rsidP="00982586">
      <w:pPr>
        <w:rPr>
          <w:color w:val="00000F"/>
        </w:rPr>
      </w:pPr>
      <w:r w:rsidRPr="00982586">
        <w:rPr>
          <w:color w:val="00000F"/>
        </w:rPr>
        <w:t>Potential amendments to the Part 111 and Part 141 regulations will address challenges like increasing the professionalism of the broker community; outdated definitions, non-relevant operating practices; and the identification of theft/shell importers of record.  Proposed amendments to regulations would clarify the brokers’ responsibilities related to importer validation; provide greater visibility with importers; modernize regulations to align with current trade practices; and create a new requirement for continuing broker education.</w:t>
      </w:r>
    </w:p>
    <w:p w:rsidR="00982586" w:rsidRPr="00982586" w:rsidRDefault="00982586" w:rsidP="00982586">
      <w:pPr>
        <w:rPr>
          <w:color w:val="00000F"/>
        </w:rPr>
      </w:pPr>
    </w:p>
    <w:p w:rsidR="00982586" w:rsidRPr="00982586" w:rsidRDefault="00982586" w:rsidP="00982586">
      <w:pPr>
        <w:rPr>
          <w:color w:val="00000F"/>
        </w:rPr>
      </w:pPr>
      <w:r w:rsidRPr="00982586">
        <w:rPr>
          <w:color w:val="00000F"/>
        </w:rPr>
        <w:t xml:space="preserve">Over the summer of 2012, CBP conducted eight webinars, each of which reached out to approximately 400 participants.  The webinars outlined the potential Part 111 changes and discussed establishing </w:t>
      </w:r>
      <w:r w:rsidRPr="00D4443A">
        <w:rPr>
          <w:i/>
          <w:color w:val="00000F"/>
        </w:rPr>
        <w:t>bona fides</w:t>
      </w:r>
      <w:r w:rsidRPr="00982586">
        <w:rPr>
          <w:color w:val="00000F"/>
        </w:rPr>
        <w:t xml:space="preserve">, broker permitting, impacts to business practices, the development of regulatory alternatives, and continuing education.  CBP also conducted 32 roundtables with the local brokers associations to discuss the regulatory changes, particularly in regards to continuing education.  During the outreach CBP conducted with the trade community, CBP has asked the following questions on importer </w:t>
      </w:r>
      <w:r w:rsidRPr="00D4443A">
        <w:rPr>
          <w:i/>
          <w:color w:val="00000F"/>
        </w:rPr>
        <w:t>bona fides:</w:t>
      </w:r>
    </w:p>
    <w:p w:rsidR="00982586" w:rsidRPr="00982586" w:rsidRDefault="00982586" w:rsidP="00982586">
      <w:pPr>
        <w:rPr>
          <w:color w:val="00000F"/>
        </w:rPr>
      </w:pPr>
    </w:p>
    <w:p w:rsidR="00982586" w:rsidRPr="00982586" w:rsidRDefault="00982586" w:rsidP="00982586">
      <w:pPr>
        <w:rPr>
          <w:color w:val="00000F"/>
        </w:rPr>
      </w:pPr>
      <w:r w:rsidRPr="00982586">
        <w:rPr>
          <w:color w:val="00000F"/>
        </w:rPr>
        <w:t xml:space="preserve">How can customs brokers enhance their relationships with their importers, particularly those importers who represent the greatest compliance risk for CBP (e.g., one-time importers and unknown importers)? How do you establish </w:t>
      </w:r>
      <w:r w:rsidRPr="00D4443A">
        <w:rPr>
          <w:i/>
          <w:color w:val="00000F"/>
        </w:rPr>
        <w:t>bona fides</w:t>
      </w:r>
      <w:r w:rsidRPr="00982586">
        <w:rPr>
          <w:color w:val="00000F"/>
        </w:rPr>
        <w:t xml:space="preserve"> with your customers to ensure secure and compliant importations? How can CBP help you with the establishment of bona </w:t>
      </w:r>
      <w:r w:rsidRPr="00D4443A">
        <w:rPr>
          <w:i/>
          <w:color w:val="00000F"/>
        </w:rPr>
        <w:t>fides</w:t>
      </w:r>
      <w:r w:rsidRPr="00982586">
        <w:rPr>
          <w:color w:val="00000F"/>
        </w:rPr>
        <w:t xml:space="preserve"> for your clients? </w:t>
      </w:r>
    </w:p>
    <w:p w:rsidR="00982586" w:rsidRPr="00982586" w:rsidRDefault="00982586" w:rsidP="00982586">
      <w:pPr>
        <w:rPr>
          <w:color w:val="00000F"/>
        </w:rPr>
      </w:pPr>
    </w:p>
    <w:p w:rsidR="00982586" w:rsidRPr="00982586" w:rsidRDefault="00982586" w:rsidP="00982586">
      <w:pPr>
        <w:rPr>
          <w:color w:val="00000F"/>
        </w:rPr>
      </w:pPr>
      <w:r w:rsidRPr="00982586">
        <w:rPr>
          <w:color w:val="00000F"/>
        </w:rPr>
        <w:lastRenderedPageBreak/>
        <w:t xml:space="preserve">In February 2013, CBP convened a workgroup to discuss concerns on continuing education for licensed customs brokers.  CBP briefed COAC on this framework in April 2013, and conducted two webinars open to the trade community in May 2013 and June 2013.  </w:t>
      </w:r>
    </w:p>
    <w:p w:rsidR="00982586" w:rsidRPr="00982586" w:rsidRDefault="00982586" w:rsidP="00982586">
      <w:pPr>
        <w:rPr>
          <w:color w:val="00000F"/>
        </w:rPr>
      </w:pPr>
    </w:p>
    <w:p w:rsidR="00982586" w:rsidRPr="00982586" w:rsidRDefault="00982586" w:rsidP="00982586">
      <w:pPr>
        <w:rPr>
          <w:color w:val="00000F"/>
        </w:rPr>
      </w:pPr>
      <w:r w:rsidRPr="00982586">
        <w:rPr>
          <w:color w:val="00000F"/>
        </w:rPr>
        <w:t xml:space="preserve">CBP met with NCBFAA in June and September 2013 to discuss other outstanding issues regarding Parts 111 and 141, including establishing a checklist in Part 141 to establish importer </w:t>
      </w:r>
      <w:r w:rsidRPr="00D4443A">
        <w:rPr>
          <w:i/>
          <w:color w:val="00000F"/>
        </w:rPr>
        <w:t>bona fides</w:t>
      </w:r>
      <w:r w:rsidRPr="00982586">
        <w:rPr>
          <w:color w:val="00000F"/>
        </w:rPr>
        <w:t>; revisiting rulings regarding a strict interpretation of Part 111.24 (Record confidentiality); the customs broker exam; and the definitions of employee and customs business.</w:t>
      </w:r>
    </w:p>
    <w:p w:rsidR="00982586" w:rsidRPr="00982586" w:rsidRDefault="00982586" w:rsidP="00982586">
      <w:pPr>
        <w:rPr>
          <w:color w:val="00000F"/>
        </w:rPr>
      </w:pPr>
    </w:p>
    <w:p w:rsidR="00982586" w:rsidRPr="00982586" w:rsidRDefault="00982586" w:rsidP="00982586">
      <w:pPr>
        <w:rPr>
          <w:b/>
          <w:color w:val="00000F"/>
          <w:u w:val="single"/>
        </w:rPr>
      </w:pPr>
      <w:r w:rsidRPr="00982586">
        <w:rPr>
          <w:b/>
          <w:color w:val="00000F"/>
          <w:u w:val="single"/>
        </w:rPr>
        <w:t>KEY ISSUES/POINTS</w:t>
      </w:r>
    </w:p>
    <w:p w:rsidR="00982586" w:rsidRPr="00982586" w:rsidRDefault="00982586" w:rsidP="00982586">
      <w:pPr>
        <w:rPr>
          <w:b/>
          <w:color w:val="00000F"/>
          <w:u w:val="single"/>
        </w:rPr>
      </w:pPr>
    </w:p>
    <w:p w:rsidR="00982586" w:rsidRPr="00982586" w:rsidRDefault="000322C4" w:rsidP="00982586">
      <w:pPr>
        <w:numPr>
          <w:ilvl w:val="0"/>
          <w:numId w:val="34"/>
        </w:numPr>
        <w:rPr>
          <w:color w:val="00000F"/>
        </w:rPr>
      </w:pPr>
      <w:r w:rsidRPr="00233EC7">
        <w:rPr>
          <w:color w:val="00000F"/>
        </w:rPr>
        <w:t xml:space="preserve">CBP </w:t>
      </w:r>
      <w:r>
        <w:rPr>
          <w:color w:val="00000F"/>
        </w:rPr>
        <w:t>appreciates COAC’s substantial efforts to formulate the national permitting recommendation, and looks forward to working with COAC and other stakeholders on their proposed changes to broker management in advance of implementing a new national permitting framework.</w:t>
      </w:r>
      <w:r w:rsidR="00982586" w:rsidRPr="00982586">
        <w:rPr>
          <w:color w:val="00000F"/>
        </w:rPr>
        <w:t xml:space="preserve">  </w:t>
      </w:r>
    </w:p>
    <w:p w:rsidR="00982586" w:rsidRPr="00982586" w:rsidRDefault="00982586" w:rsidP="00982586">
      <w:pPr>
        <w:numPr>
          <w:ilvl w:val="0"/>
          <w:numId w:val="34"/>
        </w:numPr>
        <w:rPr>
          <w:color w:val="00000F"/>
        </w:rPr>
      </w:pPr>
      <w:r w:rsidRPr="00982586">
        <w:rPr>
          <w:color w:val="00000F"/>
        </w:rPr>
        <w:t xml:space="preserve">CBP is looking forward to continue working with COAC to establish importer </w:t>
      </w:r>
      <w:r w:rsidRPr="00D4443A">
        <w:rPr>
          <w:i/>
          <w:color w:val="00000F"/>
        </w:rPr>
        <w:t>bona fides</w:t>
      </w:r>
      <w:r w:rsidRPr="00982586">
        <w:rPr>
          <w:color w:val="00000F"/>
        </w:rPr>
        <w:t>.</w:t>
      </w:r>
    </w:p>
    <w:p w:rsidR="00982586" w:rsidRPr="00982586" w:rsidRDefault="00982586" w:rsidP="00982586">
      <w:pPr>
        <w:rPr>
          <w:color w:val="00000F"/>
          <w:u w:val="single"/>
        </w:rPr>
      </w:pPr>
    </w:p>
    <w:p w:rsidR="00982586" w:rsidRPr="00982586" w:rsidRDefault="00982586" w:rsidP="00982586">
      <w:pPr>
        <w:rPr>
          <w:b/>
          <w:color w:val="00000F"/>
          <w:u w:val="single"/>
        </w:rPr>
      </w:pPr>
      <w:r w:rsidRPr="00982586">
        <w:rPr>
          <w:b/>
          <w:color w:val="00000F"/>
          <w:u w:val="single"/>
        </w:rPr>
        <w:t>NEXT STEPS</w:t>
      </w:r>
    </w:p>
    <w:p w:rsidR="00982586" w:rsidRPr="00982586" w:rsidRDefault="00982586" w:rsidP="00982586">
      <w:pPr>
        <w:rPr>
          <w:color w:val="00000F"/>
        </w:rPr>
      </w:pPr>
    </w:p>
    <w:p w:rsidR="00982586" w:rsidRPr="00982586" w:rsidRDefault="00982586" w:rsidP="00982586">
      <w:pPr>
        <w:rPr>
          <w:color w:val="00000F"/>
        </w:rPr>
      </w:pPr>
      <w:r w:rsidRPr="00982586">
        <w:rPr>
          <w:color w:val="00000F"/>
        </w:rPr>
        <w:t>CBP continues its internal work on updating the regulations in Parts 111 and 141.  A regulatory worksheet was submitted to Regulations &amp; Rulings in May 2013 to begin the regulatory drafting process.  Technical drafting work on Part 111 will continue throughout 2014.</w:t>
      </w:r>
    </w:p>
    <w:p w:rsidR="00982586" w:rsidRPr="00982586" w:rsidRDefault="00982586" w:rsidP="00982586">
      <w:pPr>
        <w:rPr>
          <w:color w:val="00000F"/>
        </w:rPr>
      </w:pPr>
    </w:p>
    <w:p w:rsidR="00982586" w:rsidRPr="00EA05E0" w:rsidRDefault="00982586" w:rsidP="00EA05E0">
      <w:pPr>
        <w:rPr>
          <w:color w:val="00000F"/>
        </w:rPr>
      </w:pPr>
    </w:p>
    <w:sectPr w:rsidR="00982586" w:rsidRPr="00EA05E0" w:rsidSect="00FD2C46">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DB" w:rsidRDefault="00EC07DB">
      <w:r>
        <w:separator/>
      </w:r>
    </w:p>
  </w:endnote>
  <w:endnote w:type="continuationSeparator" w:id="0">
    <w:p w:rsidR="00EC07DB" w:rsidRDefault="00EC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B1" w:rsidRDefault="008B3FB1" w:rsidP="00CD6240">
    <w:pPr>
      <w:pStyle w:val="Footer"/>
      <w:rPr>
        <w:b/>
        <w:sz w:val="20"/>
        <w:szCs w:val="20"/>
      </w:rPr>
    </w:pPr>
  </w:p>
  <w:p w:rsidR="00CD6240" w:rsidRPr="00200B04" w:rsidRDefault="00CD6240" w:rsidP="00CD6240">
    <w:pPr>
      <w:pStyle w:val="Footer"/>
      <w:rPr>
        <w:b/>
        <w:sz w:val="20"/>
        <w:szCs w:val="20"/>
      </w:rPr>
    </w:pPr>
    <w:r w:rsidRPr="00200B04">
      <w:rPr>
        <w:b/>
        <w:sz w:val="20"/>
        <w:szCs w:val="20"/>
      </w:rPr>
      <w:t xml:space="preserve">Contact: </w:t>
    </w:r>
    <w:r w:rsidR="006F1319" w:rsidRPr="008E1B32">
      <w:rPr>
        <w:sz w:val="20"/>
        <w:szCs w:val="20"/>
      </w:rPr>
      <w:t>Broker Management</w:t>
    </w:r>
    <w:r w:rsidR="00E71687" w:rsidRPr="008E1B32">
      <w:rPr>
        <w:sz w:val="20"/>
        <w:szCs w:val="20"/>
      </w:rPr>
      <w:t xml:space="preserve"> Branch</w:t>
    </w:r>
    <w:r w:rsidR="006F1319" w:rsidRPr="008E1B32">
      <w:rPr>
        <w:sz w:val="20"/>
        <w:szCs w:val="20"/>
      </w:rPr>
      <w:t>,</w:t>
    </w:r>
    <w:r w:rsidRPr="008E1B32">
      <w:rPr>
        <w:sz w:val="20"/>
        <w:szCs w:val="20"/>
      </w:rPr>
      <w:t xml:space="preserve"> </w:t>
    </w:r>
    <w:r w:rsidR="00200B04" w:rsidRPr="008E1B32">
      <w:rPr>
        <w:sz w:val="20"/>
        <w:szCs w:val="20"/>
      </w:rPr>
      <w:t>Office of International Trade</w:t>
    </w:r>
  </w:p>
  <w:p w:rsidR="006466F1" w:rsidRDefault="00CD6240" w:rsidP="00CD6240">
    <w:pPr>
      <w:pStyle w:val="Footer"/>
      <w:rPr>
        <w:sz w:val="20"/>
        <w:szCs w:val="20"/>
      </w:rPr>
    </w:pPr>
    <w:r w:rsidRPr="00200B04">
      <w:rPr>
        <w:b/>
        <w:sz w:val="20"/>
        <w:szCs w:val="20"/>
      </w:rPr>
      <w:t xml:space="preserve">Date: </w:t>
    </w:r>
    <w:r w:rsidR="008B3FB1">
      <w:rPr>
        <w:sz w:val="20"/>
        <w:szCs w:val="20"/>
      </w:rPr>
      <w:t>May 5</w:t>
    </w:r>
    <w:r w:rsidR="00E71687" w:rsidRPr="008E1B32">
      <w:rPr>
        <w:sz w:val="20"/>
        <w:szCs w:val="20"/>
      </w:rPr>
      <w:t>, 2014</w:t>
    </w:r>
  </w:p>
  <w:p w:rsidR="008B3FB1" w:rsidRDefault="008B3FB1" w:rsidP="00CD6240">
    <w:pPr>
      <w:pStyle w:val="Footer"/>
      <w:rPr>
        <w:sz w:val="20"/>
        <w:szCs w:val="20"/>
      </w:rPr>
    </w:pPr>
  </w:p>
  <w:p w:rsidR="008B3FB1" w:rsidRPr="008B3FB1" w:rsidRDefault="008B3FB1" w:rsidP="008B3FB1">
    <w:pPr>
      <w:pStyle w:val="Footer"/>
      <w:jc w:val="center"/>
      <w:rPr>
        <w:sz w:val="20"/>
        <w:szCs w:val="20"/>
      </w:rPr>
    </w:pPr>
    <w:r w:rsidRPr="008B3FB1">
      <w:rPr>
        <w:sz w:val="20"/>
        <w:szCs w:val="20"/>
      </w:rPr>
      <w:fldChar w:fldCharType="begin"/>
    </w:r>
    <w:r w:rsidRPr="008B3FB1">
      <w:rPr>
        <w:sz w:val="20"/>
        <w:szCs w:val="20"/>
      </w:rPr>
      <w:instrText xml:space="preserve"> PAGE   \* MERGEFORMAT </w:instrText>
    </w:r>
    <w:r w:rsidRPr="008B3FB1">
      <w:rPr>
        <w:sz w:val="20"/>
        <w:szCs w:val="20"/>
      </w:rPr>
      <w:fldChar w:fldCharType="separate"/>
    </w:r>
    <w:r w:rsidR="009E5254">
      <w:rPr>
        <w:noProof/>
        <w:sz w:val="20"/>
        <w:szCs w:val="20"/>
      </w:rPr>
      <w:t>4</w:t>
    </w:r>
    <w:r w:rsidRPr="008B3FB1">
      <w:rPr>
        <w:noProof/>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F1" w:rsidRDefault="006466F1" w:rsidP="00716F8A">
    <w:pPr>
      <w:pStyle w:val="Footer"/>
      <w:rPr>
        <w:b/>
        <w:sz w:val="20"/>
        <w:szCs w:val="20"/>
      </w:rPr>
    </w:pPr>
  </w:p>
  <w:p w:rsidR="00200B04" w:rsidRPr="008E1B32" w:rsidRDefault="00200B04" w:rsidP="00200B04">
    <w:pPr>
      <w:pStyle w:val="Footer"/>
      <w:rPr>
        <w:sz w:val="20"/>
        <w:szCs w:val="20"/>
      </w:rPr>
    </w:pPr>
    <w:r w:rsidRPr="00200B04">
      <w:rPr>
        <w:b/>
        <w:sz w:val="20"/>
        <w:szCs w:val="20"/>
      </w:rPr>
      <w:t xml:space="preserve">Contact: </w:t>
    </w:r>
    <w:r w:rsidRPr="008E1B32">
      <w:rPr>
        <w:sz w:val="20"/>
        <w:szCs w:val="20"/>
      </w:rPr>
      <w:t>Broker Management Branch, Office of International Trade</w:t>
    </w:r>
  </w:p>
  <w:p w:rsidR="00200B04" w:rsidRPr="00200B04" w:rsidRDefault="00200B04" w:rsidP="00200B04">
    <w:pPr>
      <w:pStyle w:val="Footer"/>
      <w:rPr>
        <w:b/>
        <w:sz w:val="20"/>
        <w:szCs w:val="20"/>
      </w:rPr>
    </w:pPr>
    <w:r w:rsidRPr="00200B04">
      <w:rPr>
        <w:b/>
        <w:sz w:val="20"/>
        <w:szCs w:val="20"/>
      </w:rPr>
      <w:t xml:space="preserve">Date: </w:t>
    </w:r>
    <w:r w:rsidR="00061882">
      <w:rPr>
        <w:sz w:val="20"/>
        <w:szCs w:val="20"/>
      </w:rPr>
      <w:t>May 5, 2014</w:t>
    </w:r>
  </w:p>
  <w:p w:rsidR="006466F1" w:rsidRDefault="006466F1" w:rsidP="000F4D9D">
    <w:pPr>
      <w:pStyle w:val="Footer"/>
      <w:jc w:val="center"/>
      <w:rPr>
        <w:b/>
        <w:sz w:val="20"/>
        <w:szCs w:val="20"/>
      </w:rPr>
    </w:pPr>
  </w:p>
  <w:p w:rsidR="006466F1" w:rsidRPr="00716F8A" w:rsidRDefault="006466F1" w:rsidP="00716F8A">
    <w:pPr>
      <w:pStyle w:val="Footer"/>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DB" w:rsidRDefault="00EC07DB">
      <w:r>
        <w:separator/>
      </w:r>
    </w:p>
  </w:footnote>
  <w:footnote w:type="continuationSeparator" w:id="0">
    <w:p w:rsidR="00EC07DB" w:rsidRDefault="00EC07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F1" w:rsidRDefault="006466F1" w:rsidP="00AF2D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6F1" w:rsidRDefault="006466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F1" w:rsidRPr="004B7F78" w:rsidRDefault="006466F1" w:rsidP="004B7F78">
    <w:pPr>
      <w:pStyle w:val="Header"/>
      <w:jc w:val="cent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F1" w:rsidRPr="0028668D" w:rsidRDefault="006466F1" w:rsidP="00A35A5E">
    <w:pPr>
      <w:pStyle w:val="Header"/>
      <w:tabs>
        <w:tab w:val="left" w:pos="2340"/>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EFE"/>
    <w:multiLevelType w:val="hybridMultilevel"/>
    <w:tmpl w:val="753AA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E07F1"/>
    <w:multiLevelType w:val="hybridMultilevel"/>
    <w:tmpl w:val="930CB86C"/>
    <w:lvl w:ilvl="0" w:tplc="BD2E489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0336C"/>
    <w:multiLevelType w:val="hybridMultilevel"/>
    <w:tmpl w:val="0B2854EE"/>
    <w:lvl w:ilvl="0" w:tplc="BB506D70">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CE4FB7"/>
    <w:multiLevelType w:val="hybridMultilevel"/>
    <w:tmpl w:val="D0B2EEC4"/>
    <w:lvl w:ilvl="0" w:tplc="E090AE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B62A3"/>
    <w:multiLevelType w:val="hybridMultilevel"/>
    <w:tmpl w:val="A620C7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1A044883"/>
    <w:multiLevelType w:val="hybridMultilevel"/>
    <w:tmpl w:val="3C18F81C"/>
    <w:lvl w:ilvl="0" w:tplc="04090001">
      <w:start w:val="1"/>
      <w:numFmt w:val="bullet"/>
      <w:lvlText w:val=""/>
      <w:lvlJc w:val="left"/>
      <w:pPr>
        <w:tabs>
          <w:tab w:val="num" w:pos="360"/>
        </w:tabs>
        <w:ind w:left="360" w:hanging="360"/>
      </w:pPr>
      <w:rPr>
        <w:rFonts w:ascii="Symbol" w:hAnsi="Symbol" w:hint="default"/>
      </w:rPr>
    </w:lvl>
    <w:lvl w:ilvl="1" w:tplc="8DD23BAA">
      <w:start w:val="1"/>
      <w:numFmt w:val="bullet"/>
      <w:pStyle w:val="BulletLis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F1B62"/>
    <w:multiLevelType w:val="hybridMultilevel"/>
    <w:tmpl w:val="EBF0E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F26F64"/>
    <w:multiLevelType w:val="hybridMultilevel"/>
    <w:tmpl w:val="1CEE5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C76FF"/>
    <w:multiLevelType w:val="hybridMultilevel"/>
    <w:tmpl w:val="EC4CB80E"/>
    <w:lvl w:ilvl="0" w:tplc="3D705AC0">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B6D3BEA"/>
    <w:multiLevelType w:val="hybridMultilevel"/>
    <w:tmpl w:val="6A944BCC"/>
    <w:lvl w:ilvl="0" w:tplc="BD2E489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73300"/>
    <w:multiLevelType w:val="hybridMultilevel"/>
    <w:tmpl w:val="A074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A450C"/>
    <w:multiLevelType w:val="hybridMultilevel"/>
    <w:tmpl w:val="42AACF90"/>
    <w:lvl w:ilvl="0" w:tplc="3D705AC0">
      <w:start w:val="1"/>
      <w:numFmt w:val="bullet"/>
      <w:lvlText w:val=""/>
      <w:lvlJc w:val="left"/>
      <w:pPr>
        <w:tabs>
          <w:tab w:val="num" w:pos="1440"/>
        </w:tabs>
        <w:ind w:left="1440" w:hanging="360"/>
      </w:pPr>
      <w:rPr>
        <w:rFonts w:ascii="Symbol" w:hAnsi="Symbol" w:hint="default"/>
        <w:b w:val="0"/>
        <w:i w:val="0"/>
      </w:rPr>
    </w:lvl>
    <w:lvl w:ilvl="1" w:tplc="A268DD70">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60517"/>
    <w:multiLevelType w:val="hybridMultilevel"/>
    <w:tmpl w:val="C27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C727D"/>
    <w:multiLevelType w:val="hybridMultilevel"/>
    <w:tmpl w:val="126E779A"/>
    <w:lvl w:ilvl="0" w:tplc="401AB8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71889"/>
    <w:multiLevelType w:val="hybridMultilevel"/>
    <w:tmpl w:val="A1908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B506D70">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8D55AC"/>
    <w:multiLevelType w:val="hybridMultilevel"/>
    <w:tmpl w:val="F920DD1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BB506D70">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B022DE"/>
    <w:multiLevelType w:val="hybridMultilevel"/>
    <w:tmpl w:val="77E6310C"/>
    <w:lvl w:ilvl="0" w:tplc="CDB89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4C756F"/>
    <w:multiLevelType w:val="hybridMultilevel"/>
    <w:tmpl w:val="CCA0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13D5F"/>
    <w:multiLevelType w:val="hybridMultilevel"/>
    <w:tmpl w:val="DE5AA43A"/>
    <w:lvl w:ilvl="0" w:tplc="E090AEF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A2089"/>
    <w:multiLevelType w:val="hybridMultilevel"/>
    <w:tmpl w:val="A732D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F81154"/>
    <w:multiLevelType w:val="hybridMultilevel"/>
    <w:tmpl w:val="FBBE728C"/>
    <w:lvl w:ilvl="0" w:tplc="04090001">
      <w:start w:val="1"/>
      <w:numFmt w:val="bullet"/>
      <w:lvlText w:val=""/>
      <w:lvlJc w:val="left"/>
      <w:pPr>
        <w:tabs>
          <w:tab w:val="num" w:pos="720"/>
        </w:tabs>
        <w:ind w:left="720" w:hanging="360"/>
      </w:pPr>
      <w:rPr>
        <w:rFonts w:ascii="Symbol" w:hAnsi="Symbol" w:hint="default"/>
      </w:rPr>
    </w:lvl>
    <w:lvl w:ilvl="1" w:tplc="BB506D7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721CE9"/>
    <w:multiLevelType w:val="hybridMultilevel"/>
    <w:tmpl w:val="91669D2E"/>
    <w:lvl w:ilvl="0" w:tplc="3D705AC0">
      <w:start w:val="1"/>
      <w:numFmt w:val="bullet"/>
      <w:lvlText w:val=""/>
      <w:lvlJc w:val="left"/>
      <w:pPr>
        <w:tabs>
          <w:tab w:val="num" w:pos="1440"/>
        </w:tabs>
        <w:ind w:left="1440" w:hanging="360"/>
      </w:pPr>
      <w:rPr>
        <w:rFonts w:ascii="Symbol" w:hAnsi="Symbol"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2B3A0E"/>
    <w:multiLevelType w:val="hybridMultilevel"/>
    <w:tmpl w:val="DF6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416E9"/>
    <w:multiLevelType w:val="hybridMultilevel"/>
    <w:tmpl w:val="31EE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3656B"/>
    <w:multiLevelType w:val="hybridMultilevel"/>
    <w:tmpl w:val="13CE4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9284B"/>
    <w:multiLevelType w:val="hybridMultilevel"/>
    <w:tmpl w:val="FD6EFE42"/>
    <w:lvl w:ilvl="0" w:tplc="401AB8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5B229D"/>
    <w:multiLevelType w:val="hybridMultilevel"/>
    <w:tmpl w:val="8A7402C6"/>
    <w:lvl w:ilvl="0" w:tplc="C5866300">
      <w:start w:val="3"/>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D92383"/>
    <w:multiLevelType w:val="multilevel"/>
    <w:tmpl w:val="DE5AA43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96F03CF"/>
    <w:multiLevelType w:val="hybridMultilevel"/>
    <w:tmpl w:val="72D00C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BB506D70">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5E56D8"/>
    <w:multiLevelType w:val="hybridMultilevel"/>
    <w:tmpl w:val="3F586900"/>
    <w:lvl w:ilvl="0" w:tplc="401AB8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16FDB"/>
    <w:multiLevelType w:val="hybridMultilevel"/>
    <w:tmpl w:val="F52C3D16"/>
    <w:lvl w:ilvl="0" w:tplc="BD2E489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2368C"/>
    <w:multiLevelType w:val="hybridMultilevel"/>
    <w:tmpl w:val="A12C87A8"/>
    <w:lvl w:ilvl="0" w:tplc="BD2E489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1003D"/>
    <w:multiLevelType w:val="hybridMultilevel"/>
    <w:tmpl w:val="D25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E423F"/>
    <w:multiLevelType w:val="hybridMultilevel"/>
    <w:tmpl w:val="D06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6"/>
  </w:num>
  <w:num w:numId="5">
    <w:abstractNumId w:val="20"/>
  </w:num>
  <w:num w:numId="6">
    <w:abstractNumId w:val="26"/>
  </w:num>
  <w:num w:numId="7">
    <w:abstractNumId w:val="2"/>
  </w:num>
  <w:num w:numId="8">
    <w:abstractNumId w:val="28"/>
  </w:num>
  <w:num w:numId="9">
    <w:abstractNumId w:val="8"/>
  </w:num>
  <w:num w:numId="10">
    <w:abstractNumId w:val="11"/>
  </w:num>
  <w:num w:numId="11">
    <w:abstractNumId w:val="15"/>
  </w:num>
  <w:num w:numId="12">
    <w:abstractNumId w:val="21"/>
  </w:num>
  <w:num w:numId="13">
    <w:abstractNumId w:val="18"/>
  </w:num>
  <w:num w:numId="14">
    <w:abstractNumId w:val="24"/>
  </w:num>
  <w:num w:numId="15">
    <w:abstractNumId w:val="27"/>
  </w:num>
  <w:num w:numId="16">
    <w:abstractNumId w:val="3"/>
  </w:num>
  <w:num w:numId="17">
    <w:abstractNumId w:val="19"/>
  </w:num>
  <w:num w:numId="18">
    <w:abstractNumId w:val="0"/>
  </w:num>
  <w:num w:numId="19">
    <w:abstractNumId w:val="23"/>
  </w:num>
  <w:num w:numId="20">
    <w:abstractNumId w:val="32"/>
  </w:num>
  <w:num w:numId="21">
    <w:abstractNumId w:val="22"/>
  </w:num>
  <w:num w:numId="22">
    <w:abstractNumId w:val="10"/>
  </w:num>
  <w:num w:numId="23">
    <w:abstractNumId w:val="29"/>
  </w:num>
  <w:num w:numId="24">
    <w:abstractNumId w:val="13"/>
  </w:num>
  <w:num w:numId="25">
    <w:abstractNumId w:val="1"/>
  </w:num>
  <w:num w:numId="26">
    <w:abstractNumId w:val="9"/>
  </w:num>
  <w:num w:numId="27">
    <w:abstractNumId w:val="31"/>
  </w:num>
  <w:num w:numId="28">
    <w:abstractNumId w:val="30"/>
  </w:num>
  <w:num w:numId="29">
    <w:abstractNumId w:val="25"/>
  </w:num>
  <w:num w:numId="30">
    <w:abstractNumId w:val="16"/>
  </w:num>
  <w:num w:numId="31">
    <w:abstractNumId w:val="4"/>
  </w:num>
  <w:num w:numId="32">
    <w:abstractNumId w:val="33"/>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BC"/>
    <w:rsid w:val="00000C4F"/>
    <w:rsid w:val="00002C59"/>
    <w:rsid w:val="00003AF5"/>
    <w:rsid w:val="00010E47"/>
    <w:rsid w:val="00011BBE"/>
    <w:rsid w:val="00015263"/>
    <w:rsid w:val="000163A0"/>
    <w:rsid w:val="00022A58"/>
    <w:rsid w:val="000234F2"/>
    <w:rsid w:val="000239D1"/>
    <w:rsid w:val="00023E4C"/>
    <w:rsid w:val="000322C4"/>
    <w:rsid w:val="000439BA"/>
    <w:rsid w:val="000440CB"/>
    <w:rsid w:val="00046028"/>
    <w:rsid w:val="00047624"/>
    <w:rsid w:val="0005300D"/>
    <w:rsid w:val="000537B3"/>
    <w:rsid w:val="00053B32"/>
    <w:rsid w:val="00055C40"/>
    <w:rsid w:val="00056858"/>
    <w:rsid w:val="00057C3C"/>
    <w:rsid w:val="000611E6"/>
    <w:rsid w:val="00061882"/>
    <w:rsid w:val="000663E1"/>
    <w:rsid w:val="0008493E"/>
    <w:rsid w:val="00086088"/>
    <w:rsid w:val="000919E2"/>
    <w:rsid w:val="00096436"/>
    <w:rsid w:val="0009697E"/>
    <w:rsid w:val="00096BA0"/>
    <w:rsid w:val="00096D7A"/>
    <w:rsid w:val="000B2024"/>
    <w:rsid w:val="000B4118"/>
    <w:rsid w:val="000C18AC"/>
    <w:rsid w:val="000C3D7B"/>
    <w:rsid w:val="000C5F82"/>
    <w:rsid w:val="000C746C"/>
    <w:rsid w:val="000E0211"/>
    <w:rsid w:val="000E1639"/>
    <w:rsid w:val="000F0B0E"/>
    <w:rsid w:val="000F1112"/>
    <w:rsid w:val="000F4290"/>
    <w:rsid w:val="000F4D9D"/>
    <w:rsid w:val="00102D77"/>
    <w:rsid w:val="00105F35"/>
    <w:rsid w:val="001109B6"/>
    <w:rsid w:val="00112E11"/>
    <w:rsid w:val="00121AB9"/>
    <w:rsid w:val="00122E36"/>
    <w:rsid w:val="00133A5F"/>
    <w:rsid w:val="00136AC9"/>
    <w:rsid w:val="00137EFA"/>
    <w:rsid w:val="00153E2F"/>
    <w:rsid w:val="00154021"/>
    <w:rsid w:val="00156832"/>
    <w:rsid w:val="001629AA"/>
    <w:rsid w:val="00167DB9"/>
    <w:rsid w:val="0017158F"/>
    <w:rsid w:val="00172E04"/>
    <w:rsid w:val="001760DD"/>
    <w:rsid w:val="00176F92"/>
    <w:rsid w:val="0018484C"/>
    <w:rsid w:val="00184BF8"/>
    <w:rsid w:val="0018764D"/>
    <w:rsid w:val="00195C8E"/>
    <w:rsid w:val="001A6A05"/>
    <w:rsid w:val="001A74D2"/>
    <w:rsid w:val="001A758B"/>
    <w:rsid w:val="001B1612"/>
    <w:rsid w:val="001B79EE"/>
    <w:rsid w:val="001B7F3F"/>
    <w:rsid w:val="001C22E1"/>
    <w:rsid w:val="001C4615"/>
    <w:rsid w:val="001C4D9D"/>
    <w:rsid w:val="001C61D0"/>
    <w:rsid w:val="001C6E74"/>
    <w:rsid w:val="001D085B"/>
    <w:rsid w:val="001D0875"/>
    <w:rsid w:val="001D55AA"/>
    <w:rsid w:val="001D6A7B"/>
    <w:rsid w:val="001D7803"/>
    <w:rsid w:val="001E630F"/>
    <w:rsid w:val="001E70B7"/>
    <w:rsid w:val="001F211E"/>
    <w:rsid w:val="0020056F"/>
    <w:rsid w:val="00200955"/>
    <w:rsid w:val="00200ABC"/>
    <w:rsid w:val="00200B04"/>
    <w:rsid w:val="00205462"/>
    <w:rsid w:val="00206BD1"/>
    <w:rsid w:val="00211C62"/>
    <w:rsid w:val="00223A16"/>
    <w:rsid w:val="0022666B"/>
    <w:rsid w:val="00227883"/>
    <w:rsid w:val="00240652"/>
    <w:rsid w:val="0024271E"/>
    <w:rsid w:val="00242747"/>
    <w:rsid w:val="002441FC"/>
    <w:rsid w:val="0024569F"/>
    <w:rsid w:val="00245974"/>
    <w:rsid w:val="00251FB1"/>
    <w:rsid w:val="00270EDF"/>
    <w:rsid w:val="00273BE1"/>
    <w:rsid w:val="0028668D"/>
    <w:rsid w:val="00287295"/>
    <w:rsid w:val="00291673"/>
    <w:rsid w:val="002958F9"/>
    <w:rsid w:val="002A361C"/>
    <w:rsid w:val="002A5546"/>
    <w:rsid w:val="002A7412"/>
    <w:rsid w:val="002A7998"/>
    <w:rsid w:val="002C27A1"/>
    <w:rsid w:val="002C2809"/>
    <w:rsid w:val="002C7695"/>
    <w:rsid w:val="002D1FC8"/>
    <w:rsid w:val="002D21B3"/>
    <w:rsid w:val="002D2E34"/>
    <w:rsid w:val="002E1BDC"/>
    <w:rsid w:val="002E4DA3"/>
    <w:rsid w:val="002E618B"/>
    <w:rsid w:val="002E7CC9"/>
    <w:rsid w:val="002F124D"/>
    <w:rsid w:val="002F3E39"/>
    <w:rsid w:val="002F48EF"/>
    <w:rsid w:val="002F51A1"/>
    <w:rsid w:val="002F65EF"/>
    <w:rsid w:val="00301594"/>
    <w:rsid w:val="0030494B"/>
    <w:rsid w:val="00304AA5"/>
    <w:rsid w:val="003059F1"/>
    <w:rsid w:val="00305A81"/>
    <w:rsid w:val="0030654D"/>
    <w:rsid w:val="00317AA7"/>
    <w:rsid w:val="0032129B"/>
    <w:rsid w:val="0032449B"/>
    <w:rsid w:val="00333D56"/>
    <w:rsid w:val="00335FAA"/>
    <w:rsid w:val="003440A4"/>
    <w:rsid w:val="00350DF6"/>
    <w:rsid w:val="003537D0"/>
    <w:rsid w:val="0035528F"/>
    <w:rsid w:val="003576D7"/>
    <w:rsid w:val="00360849"/>
    <w:rsid w:val="003625E8"/>
    <w:rsid w:val="00362DB7"/>
    <w:rsid w:val="0036520C"/>
    <w:rsid w:val="003705B0"/>
    <w:rsid w:val="00372290"/>
    <w:rsid w:val="00372CF7"/>
    <w:rsid w:val="00380815"/>
    <w:rsid w:val="00386C91"/>
    <w:rsid w:val="00394E69"/>
    <w:rsid w:val="00397BE1"/>
    <w:rsid w:val="003A39AD"/>
    <w:rsid w:val="003A556A"/>
    <w:rsid w:val="003B32BA"/>
    <w:rsid w:val="003B59CF"/>
    <w:rsid w:val="003B6509"/>
    <w:rsid w:val="003B790C"/>
    <w:rsid w:val="003C1DE2"/>
    <w:rsid w:val="003C20F6"/>
    <w:rsid w:val="003C6BF4"/>
    <w:rsid w:val="003C706C"/>
    <w:rsid w:val="003D3A33"/>
    <w:rsid w:val="003D4BC7"/>
    <w:rsid w:val="003D5AA1"/>
    <w:rsid w:val="003D6592"/>
    <w:rsid w:val="003E026A"/>
    <w:rsid w:val="003E0993"/>
    <w:rsid w:val="003E42B3"/>
    <w:rsid w:val="003F04AE"/>
    <w:rsid w:val="003F219E"/>
    <w:rsid w:val="003F3D95"/>
    <w:rsid w:val="003F4B1F"/>
    <w:rsid w:val="003F5366"/>
    <w:rsid w:val="00405E67"/>
    <w:rsid w:val="00406858"/>
    <w:rsid w:val="00412C07"/>
    <w:rsid w:val="004160EF"/>
    <w:rsid w:val="0042053F"/>
    <w:rsid w:val="004257C0"/>
    <w:rsid w:val="00435F43"/>
    <w:rsid w:val="00437658"/>
    <w:rsid w:val="0044172A"/>
    <w:rsid w:val="00441C07"/>
    <w:rsid w:val="004452B8"/>
    <w:rsid w:val="0044798E"/>
    <w:rsid w:val="0045181D"/>
    <w:rsid w:val="0045212D"/>
    <w:rsid w:val="00456B04"/>
    <w:rsid w:val="00461E4B"/>
    <w:rsid w:val="0046549D"/>
    <w:rsid w:val="00467B5A"/>
    <w:rsid w:val="00475C37"/>
    <w:rsid w:val="004932B0"/>
    <w:rsid w:val="004940B7"/>
    <w:rsid w:val="004972D9"/>
    <w:rsid w:val="00497C8F"/>
    <w:rsid w:val="004A02FE"/>
    <w:rsid w:val="004A18BB"/>
    <w:rsid w:val="004A5EB9"/>
    <w:rsid w:val="004A6F67"/>
    <w:rsid w:val="004B2F17"/>
    <w:rsid w:val="004B54ED"/>
    <w:rsid w:val="004B7F78"/>
    <w:rsid w:val="004D135B"/>
    <w:rsid w:val="004D15BD"/>
    <w:rsid w:val="004F40F5"/>
    <w:rsid w:val="004F6613"/>
    <w:rsid w:val="005006B7"/>
    <w:rsid w:val="00500863"/>
    <w:rsid w:val="005044EB"/>
    <w:rsid w:val="005045C6"/>
    <w:rsid w:val="005113CD"/>
    <w:rsid w:val="00513162"/>
    <w:rsid w:val="00514916"/>
    <w:rsid w:val="00516AFC"/>
    <w:rsid w:val="00521378"/>
    <w:rsid w:val="005215A1"/>
    <w:rsid w:val="00521D3C"/>
    <w:rsid w:val="00522441"/>
    <w:rsid w:val="00523662"/>
    <w:rsid w:val="005238A2"/>
    <w:rsid w:val="00525315"/>
    <w:rsid w:val="00531D50"/>
    <w:rsid w:val="0053350A"/>
    <w:rsid w:val="00542F4E"/>
    <w:rsid w:val="00546835"/>
    <w:rsid w:val="00556C0B"/>
    <w:rsid w:val="00556F5C"/>
    <w:rsid w:val="0056061F"/>
    <w:rsid w:val="00561074"/>
    <w:rsid w:val="005618AC"/>
    <w:rsid w:val="00566566"/>
    <w:rsid w:val="005719E8"/>
    <w:rsid w:val="005739F3"/>
    <w:rsid w:val="00575D90"/>
    <w:rsid w:val="005811E2"/>
    <w:rsid w:val="00582325"/>
    <w:rsid w:val="005834BE"/>
    <w:rsid w:val="00583E2A"/>
    <w:rsid w:val="00591071"/>
    <w:rsid w:val="005B0127"/>
    <w:rsid w:val="005B2236"/>
    <w:rsid w:val="005B3EE5"/>
    <w:rsid w:val="005B4CD9"/>
    <w:rsid w:val="005C42CC"/>
    <w:rsid w:val="005C5D3B"/>
    <w:rsid w:val="005D0DEF"/>
    <w:rsid w:val="005D0E29"/>
    <w:rsid w:val="005D18BD"/>
    <w:rsid w:val="005D2EA8"/>
    <w:rsid w:val="005D3F92"/>
    <w:rsid w:val="005D5D9B"/>
    <w:rsid w:val="005D6D57"/>
    <w:rsid w:val="005E0A26"/>
    <w:rsid w:val="005E4996"/>
    <w:rsid w:val="006018FF"/>
    <w:rsid w:val="00617CCC"/>
    <w:rsid w:val="00622737"/>
    <w:rsid w:val="00624349"/>
    <w:rsid w:val="006319A7"/>
    <w:rsid w:val="006325B3"/>
    <w:rsid w:val="00634B6F"/>
    <w:rsid w:val="006375E8"/>
    <w:rsid w:val="0064565B"/>
    <w:rsid w:val="00645D57"/>
    <w:rsid w:val="006464C9"/>
    <w:rsid w:val="006466F1"/>
    <w:rsid w:val="00654754"/>
    <w:rsid w:val="00660446"/>
    <w:rsid w:val="00662168"/>
    <w:rsid w:val="006621C9"/>
    <w:rsid w:val="00662760"/>
    <w:rsid w:val="006635C9"/>
    <w:rsid w:val="00663A98"/>
    <w:rsid w:val="00664510"/>
    <w:rsid w:val="00667FE7"/>
    <w:rsid w:val="00671A4E"/>
    <w:rsid w:val="0068170A"/>
    <w:rsid w:val="00682448"/>
    <w:rsid w:val="006827BE"/>
    <w:rsid w:val="006863C6"/>
    <w:rsid w:val="00692D4A"/>
    <w:rsid w:val="006944B7"/>
    <w:rsid w:val="00694579"/>
    <w:rsid w:val="00694ECE"/>
    <w:rsid w:val="006A047D"/>
    <w:rsid w:val="006A6C24"/>
    <w:rsid w:val="006B17E8"/>
    <w:rsid w:val="006B3E07"/>
    <w:rsid w:val="006B46EE"/>
    <w:rsid w:val="006C0DA6"/>
    <w:rsid w:val="006C17AB"/>
    <w:rsid w:val="006C230E"/>
    <w:rsid w:val="006C2617"/>
    <w:rsid w:val="006C308E"/>
    <w:rsid w:val="006C4D1C"/>
    <w:rsid w:val="006C585A"/>
    <w:rsid w:val="006C68B7"/>
    <w:rsid w:val="006C7E61"/>
    <w:rsid w:val="006D5FD3"/>
    <w:rsid w:val="006E0336"/>
    <w:rsid w:val="006E0911"/>
    <w:rsid w:val="006E34AF"/>
    <w:rsid w:val="006E4C8F"/>
    <w:rsid w:val="006F0722"/>
    <w:rsid w:val="006F1319"/>
    <w:rsid w:val="006F7943"/>
    <w:rsid w:val="00702453"/>
    <w:rsid w:val="00704DC0"/>
    <w:rsid w:val="00710F6F"/>
    <w:rsid w:val="0071496E"/>
    <w:rsid w:val="00716F8A"/>
    <w:rsid w:val="0071738E"/>
    <w:rsid w:val="00720ACE"/>
    <w:rsid w:val="007226BA"/>
    <w:rsid w:val="007236F4"/>
    <w:rsid w:val="007318C4"/>
    <w:rsid w:val="007363CB"/>
    <w:rsid w:val="0074758F"/>
    <w:rsid w:val="00747855"/>
    <w:rsid w:val="0075247D"/>
    <w:rsid w:val="0075446A"/>
    <w:rsid w:val="00761D56"/>
    <w:rsid w:val="00761E4A"/>
    <w:rsid w:val="00762B85"/>
    <w:rsid w:val="0076382E"/>
    <w:rsid w:val="007641AB"/>
    <w:rsid w:val="007648D7"/>
    <w:rsid w:val="0076735A"/>
    <w:rsid w:val="00770846"/>
    <w:rsid w:val="00776089"/>
    <w:rsid w:val="0078549E"/>
    <w:rsid w:val="00785AC1"/>
    <w:rsid w:val="00790EBF"/>
    <w:rsid w:val="00796279"/>
    <w:rsid w:val="007A0C06"/>
    <w:rsid w:val="007A229A"/>
    <w:rsid w:val="007A3234"/>
    <w:rsid w:val="007A4E2A"/>
    <w:rsid w:val="007B0703"/>
    <w:rsid w:val="007B379E"/>
    <w:rsid w:val="007B5615"/>
    <w:rsid w:val="007B5E3B"/>
    <w:rsid w:val="007C0C72"/>
    <w:rsid w:val="007D15C4"/>
    <w:rsid w:val="007D4010"/>
    <w:rsid w:val="007D5D7F"/>
    <w:rsid w:val="007D6F89"/>
    <w:rsid w:val="007D7C85"/>
    <w:rsid w:val="007E095F"/>
    <w:rsid w:val="007E33D9"/>
    <w:rsid w:val="007E485B"/>
    <w:rsid w:val="007F0A2F"/>
    <w:rsid w:val="007F2C58"/>
    <w:rsid w:val="007F31DF"/>
    <w:rsid w:val="007F4FA8"/>
    <w:rsid w:val="0080000D"/>
    <w:rsid w:val="00804BAA"/>
    <w:rsid w:val="00807CEC"/>
    <w:rsid w:val="00810165"/>
    <w:rsid w:val="00820C51"/>
    <w:rsid w:val="00824615"/>
    <w:rsid w:val="00827ECE"/>
    <w:rsid w:val="00834ABC"/>
    <w:rsid w:val="00844EBB"/>
    <w:rsid w:val="008467DC"/>
    <w:rsid w:val="00850426"/>
    <w:rsid w:val="00855AEF"/>
    <w:rsid w:val="00855B23"/>
    <w:rsid w:val="00855CFB"/>
    <w:rsid w:val="00855F08"/>
    <w:rsid w:val="00862710"/>
    <w:rsid w:val="00864E5E"/>
    <w:rsid w:val="008657A3"/>
    <w:rsid w:val="00874BB6"/>
    <w:rsid w:val="008802A9"/>
    <w:rsid w:val="00881B58"/>
    <w:rsid w:val="008827DD"/>
    <w:rsid w:val="0088337A"/>
    <w:rsid w:val="00886228"/>
    <w:rsid w:val="00887362"/>
    <w:rsid w:val="00890D25"/>
    <w:rsid w:val="008927E4"/>
    <w:rsid w:val="008931E7"/>
    <w:rsid w:val="00894816"/>
    <w:rsid w:val="00896014"/>
    <w:rsid w:val="00897B9E"/>
    <w:rsid w:val="008A04EF"/>
    <w:rsid w:val="008A6C3D"/>
    <w:rsid w:val="008A7ABE"/>
    <w:rsid w:val="008B3FB1"/>
    <w:rsid w:val="008C12B3"/>
    <w:rsid w:val="008C36FD"/>
    <w:rsid w:val="008C6F59"/>
    <w:rsid w:val="008D38A5"/>
    <w:rsid w:val="008D4933"/>
    <w:rsid w:val="008E1B32"/>
    <w:rsid w:val="008E3AF0"/>
    <w:rsid w:val="008E7152"/>
    <w:rsid w:val="008F27E8"/>
    <w:rsid w:val="008F618A"/>
    <w:rsid w:val="008F77F2"/>
    <w:rsid w:val="00905383"/>
    <w:rsid w:val="0091017A"/>
    <w:rsid w:val="0091128F"/>
    <w:rsid w:val="00917488"/>
    <w:rsid w:val="009478B5"/>
    <w:rsid w:val="009514F4"/>
    <w:rsid w:val="009538B6"/>
    <w:rsid w:val="009578E0"/>
    <w:rsid w:val="00957DBC"/>
    <w:rsid w:val="0096027A"/>
    <w:rsid w:val="00964BEE"/>
    <w:rsid w:val="0096567D"/>
    <w:rsid w:val="00966BA9"/>
    <w:rsid w:val="00970DEC"/>
    <w:rsid w:val="00971222"/>
    <w:rsid w:val="009743C2"/>
    <w:rsid w:val="009745F9"/>
    <w:rsid w:val="00974E81"/>
    <w:rsid w:val="00982586"/>
    <w:rsid w:val="009831E1"/>
    <w:rsid w:val="00983805"/>
    <w:rsid w:val="00984B2D"/>
    <w:rsid w:val="0098569A"/>
    <w:rsid w:val="0099040A"/>
    <w:rsid w:val="009943CB"/>
    <w:rsid w:val="009966F7"/>
    <w:rsid w:val="00996747"/>
    <w:rsid w:val="009A1322"/>
    <w:rsid w:val="009A43E0"/>
    <w:rsid w:val="009A4B75"/>
    <w:rsid w:val="009A7202"/>
    <w:rsid w:val="009A7D4C"/>
    <w:rsid w:val="009B4173"/>
    <w:rsid w:val="009C152E"/>
    <w:rsid w:val="009C226F"/>
    <w:rsid w:val="009C48F4"/>
    <w:rsid w:val="009C72E5"/>
    <w:rsid w:val="009C7A20"/>
    <w:rsid w:val="009D3A37"/>
    <w:rsid w:val="009D6164"/>
    <w:rsid w:val="009D7B68"/>
    <w:rsid w:val="009E4666"/>
    <w:rsid w:val="009E5254"/>
    <w:rsid w:val="009E6E60"/>
    <w:rsid w:val="009F4D45"/>
    <w:rsid w:val="009F66A3"/>
    <w:rsid w:val="009F6A36"/>
    <w:rsid w:val="00A05239"/>
    <w:rsid w:val="00A05524"/>
    <w:rsid w:val="00A05E85"/>
    <w:rsid w:val="00A06964"/>
    <w:rsid w:val="00A06D6B"/>
    <w:rsid w:val="00A20EEC"/>
    <w:rsid w:val="00A214BE"/>
    <w:rsid w:val="00A2412C"/>
    <w:rsid w:val="00A25831"/>
    <w:rsid w:val="00A25F0C"/>
    <w:rsid w:val="00A309BC"/>
    <w:rsid w:val="00A3407B"/>
    <w:rsid w:val="00A35761"/>
    <w:rsid w:val="00A359C5"/>
    <w:rsid w:val="00A35A5E"/>
    <w:rsid w:val="00A362EF"/>
    <w:rsid w:val="00A4036B"/>
    <w:rsid w:val="00A4105D"/>
    <w:rsid w:val="00A42703"/>
    <w:rsid w:val="00A43F24"/>
    <w:rsid w:val="00A4509C"/>
    <w:rsid w:val="00A46229"/>
    <w:rsid w:val="00A47E1E"/>
    <w:rsid w:val="00A50607"/>
    <w:rsid w:val="00A511C4"/>
    <w:rsid w:val="00A54908"/>
    <w:rsid w:val="00A551C8"/>
    <w:rsid w:val="00A55349"/>
    <w:rsid w:val="00A659AC"/>
    <w:rsid w:val="00A65A62"/>
    <w:rsid w:val="00A751A1"/>
    <w:rsid w:val="00A75E7B"/>
    <w:rsid w:val="00A77CBE"/>
    <w:rsid w:val="00A80FD1"/>
    <w:rsid w:val="00A95DDF"/>
    <w:rsid w:val="00A97BBD"/>
    <w:rsid w:val="00A97D00"/>
    <w:rsid w:val="00AA45D1"/>
    <w:rsid w:val="00AB1DB7"/>
    <w:rsid w:val="00AB5626"/>
    <w:rsid w:val="00AB5827"/>
    <w:rsid w:val="00AC6794"/>
    <w:rsid w:val="00AD0ACA"/>
    <w:rsid w:val="00AD160A"/>
    <w:rsid w:val="00AD17A3"/>
    <w:rsid w:val="00AD3048"/>
    <w:rsid w:val="00AD31A8"/>
    <w:rsid w:val="00AF0724"/>
    <w:rsid w:val="00AF2DA5"/>
    <w:rsid w:val="00AF397B"/>
    <w:rsid w:val="00AF3B4B"/>
    <w:rsid w:val="00AF5D6E"/>
    <w:rsid w:val="00B00AD4"/>
    <w:rsid w:val="00B07A36"/>
    <w:rsid w:val="00B10F82"/>
    <w:rsid w:val="00B12ADB"/>
    <w:rsid w:val="00B17130"/>
    <w:rsid w:val="00B17AFF"/>
    <w:rsid w:val="00B224CE"/>
    <w:rsid w:val="00B23434"/>
    <w:rsid w:val="00B26335"/>
    <w:rsid w:val="00B30875"/>
    <w:rsid w:val="00B31BDC"/>
    <w:rsid w:val="00B354E7"/>
    <w:rsid w:val="00B43EB9"/>
    <w:rsid w:val="00B44D10"/>
    <w:rsid w:val="00B45D9B"/>
    <w:rsid w:val="00B470AF"/>
    <w:rsid w:val="00B473CE"/>
    <w:rsid w:val="00B5076A"/>
    <w:rsid w:val="00B50A9F"/>
    <w:rsid w:val="00B57FF3"/>
    <w:rsid w:val="00B60EDD"/>
    <w:rsid w:val="00B61A4B"/>
    <w:rsid w:val="00B64817"/>
    <w:rsid w:val="00B72D22"/>
    <w:rsid w:val="00B75DF5"/>
    <w:rsid w:val="00B76026"/>
    <w:rsid w:val="00B767F9"/>
    <w:rsid w:val="00B76B65"/>
    <w:rsid w:val="00B802E7"/>
    <w:rsid w:val="00B90D71"/>
    <w:rsid w:val="00B95D1C"/>
    <w:rsid w:val="00B97CA3"/>
    <w:rsid w:val="00BA52CF"/>
    <w:rsid w:val="00BA5882"/>
    <w:rsid w:val="00BB0BD0"/>
    <w:rsid w:val="00BB12C2"/>
    <w:rsid w:val="00BB37E5"/>
    <w:rsid w:val="00BB40C3"/>
    <w:rsid w:val="00BB6450"/>
    <w:rsid w:val="00BB7F56"/>
    <w:rsid w:val="00BC1C60"/>
    <w:rsid w:val="00BD0FE1"/>
    <w:rsid w:val="00BD1E3D"/>
    <w:rsid w:val="00BD7D0D"/>
    <w:rsid w:val="00BE098A"/>
    <w:rsid w:val="00BE1F21"/>
    <w:rsid w:val="00BE3439"/>
    <w:rsid w:val="00BF66A3"/>
    <w:rsid w:val="00BF6DAF"/>
    <w:rsid w:val="00BF74CA"/>
    <w:rsid w:val="00C00310"/>
    <w:rsid w:val="00C064A7"/>
    <w:rsid w:val="00C10ABB"/>
    <w:rsid w:val="00C135A7"/>
    <w:rsid w:val="00C14D8B"/>
    <w:rsid w:val="00C23E74"/>
    <w:rsid w:val="00C251DD"/>
    <w:rsid w:val="00C25A08"/>
    <w:rsid w:val="00C267D3"/>
    <w:rsid w:val="00C52D1D"/>
    <w:rsid w:val="00C6305E"/>
    <w:rsid w:val="00C67EDC"/>
    <w:rsid w:val="00C7141A"/>
    <w:rsid w:val="00C75EED"/>
    <w:rsid w:val="00C76B2F"/>
    <w:rsid w:val="00C77E16"/>
    <w:rsid w:val="00C80AF6"/>
    <w:rsid w:val="00C9366A"/>
    <w:rsid w:val="00C94EF4"/>
    <w:rsid w:val="00C96995"/>
    <w:rsid w:val="00CA0DEA"/>
    <w:rsid w:val="00CA13CD"/>
    <w:rsid w:val="00CA32CB"/>
    <w:rsid w:val="00CA6710"/>
    <w:rsid w:val="00CB5A29"/>
    <w:rsid w:val="00CC1DE8"/>
    <w:rsid w:val="00CC2217"/>
    <w:rsid w:val="00CC375C"/>
    <w:rsid w:val="00CC554C"/>
    <w:rsid w:val="00CC766A"/>
    <w:rsid w:val="00CD1724"/>
    <w:rsid w:val="00CD192E"/>
    <w:rsid w:val="00CD5861"/>
    <w:rsid w:val="00CD5EAD"/>
    <w:rsid w:val="00CD6240"/>
    <w:rsid w:val="00CD632F"/>
    <w:rsid w:val="00CE009F"/>
    <w:rsid w:val="00CE164C"/>
    <w:rsid w:val="00CE304E"/>
    <w:rsid w:val="00CE543C"/>
    <w:rsid w:val="00CE760F"/>
    <w:rsid w:val="00CF0C54"/>
    <w:rsid w:val="00CF37D5"/>
    <w:rsid w:val="00CF5D11"/>
    <w:rsid w:val="00CF6C31"/>
    <w:rsid w:val="00D0417E"/>
    <w:rsid w:val="00D054A4"/>
    <w:rsid w:val="00D10A6A"/>
    <w:rsid w:val="00D12506"/>
    <w:rsid w:val="00D13588"/>
    <w:rsid w:val="00D30301"/>
    <w:rsid w:val="00D32530"/>
    <w:rsid w:val="00D32728"/>
    <w:rsid w:val="00D4000D"/>
    <w:rsid w:val="00D423E8"/>
    <w:rsid w:val="00D4443A"/>
    <w:rsid w:val="00D4569E"/>
    <w:rsid w:val="00D46D44"/>
    <w:rsid w:val="00D531BF"/>
    <w:rsid w:val="00D571BC"/>
    <w:rsid w:val="00D60690"/>
    <w:rsid w:val="00D60C9D"/>
    <w:rsid w:val="00D642C1"/>
    <w:rsid w:val="00D645AA"/>
    <w:rsid w:val="00D64885"/>
    <w:rsid w:val="00D660CE"/>
    <w:rsid w:val="00D669E7"/>
    <w:rsid w:val="00D70530"/>
    <w:rsid w:val="00D71527"/>
    <w:rsid w:val="00D71868"/>
    <w:rsid w:val="00D72725"/>
    <w:rsid w:val="00D7347F"/>
    <w:rsid w:val="00D74B88"/>
    <w:rsid w:val="00D74B8F"/>
    <w:rsid w:val="00D8598C"/>
    <w:rsid w:val="00D94972"/>
    <w:rsid w:val="00D94A35"/>
    <w:rsid w:val="00DA709A"/>
    <w:rsid w:val="00DB796E"/>
    <w:rsid w:val="00DC04A5"/>
    <w:rsid w:val="00DC12EC"/>
    <w:rsid w:val="00DC27E0"/>
    <w:rsid w:val="00DC3173"/>
    <w:rsid w:val="00DC43DF"/>
    <w:rsid w:val="00DC6E34"/>
    <w:rsid w:val="00DD25E6"/>
    <w:rsid w:val="00DD317E"/>
    <w:rsid w:val="00DD45DB"/>
    <w:rsid w:val="00DD4E80"/>
    <w:rsid w:val="00DD6E11"/>
    <w:rsid w:val="00DE05A5"/>
    <w:rsid w:val="00DE1562"/>
    <w:rsid w:val="00DE691A"/>
    <w:rsid w:val="00DF297A"/>
    <w:rsid w:val="00E0145F"/>
    <w:rsid w:val="00E02F12"/>
    <w:rsid w:val="00E03838"/>
    <w:rsid w:val="00E06909"/>
    <w:rsid w:val="00E10470"/>
    <w:rsid w:val="00E10754"/>
    <w:rsid w:val="00E20776"/>
    <w:rsid w:val="00E224A5"/>
    <w:rsid w:val="00E23713"/>
    <w:rsid w:val="00E25E7E"/>
    <w:rsid w:val="00E34FEF"/>
    <w:rsid w:val="00E41F02"/>
    <w:rsid w:val="00E454F9"/>
    <w:rsid w:val="00E52472"/>
    <w:rsid w:val="00E52528"/>
    <w:rsid w:val="00E53B14"/>
    <w:rsid w:val="00E56E19"/>
    <w:rsid w:val="00E56FE5"/>
    <w:rsid w:val="00E61C54"/>
    <w:rsid w:val="00E623AE"/>
    <w:rsid w:val="00E66445"/>
    <w:rsid w:val="00E71687"/>
    <w:rsid w:val="00E72353"/>
    <w:rsid w:val="00E75E28"/>
    <w:rsid w:val="00E85CF3"/>
    <w:rsid w:val="00E94A65"/>
    <w:rsid w:val="00E95DE8"/>
    <w:rsid w:val="00E96FA6"/>
    <w:rsid w:val="00EA05E0"/>
    <w:rsid w:val="00EA1271"/>
    <w:rsid w:val="00EA69E9"/>
    <w:rsid w:val="00EB5479"/>
    <w:rsid w:val="00EC07DB"/>
    <w:rsid w:val="00EC152F"/>
    <w:rsid w:val="00ED7359"/>
    <w:rsid w:val="00ED7537"/>
    <w:rsid w:val="00EE0344"/>
    <w:rsid w:val="00EE2134"/>
    <w:rsid w:val="00EE295C"/>
    <w:rsid w:val="00EE3BDE"/>
    <w:rsid w:val="00EE7141"/>
    <w:rsid w:val="00EF15A4"/>
    <w:rsid w:val="00EF51D9"/>
    <w:rsid w:val="00EF67B9"/>
    <w:rsid w:val="00F02E6D"/>
    <w:rsid w:val="00F03B75"/>
    <w:rsid w:val="00F05593"/>
    <w:rsid w:val="00F060A2"/>
    <w:rsid w:val="00F06453"/>
    <w:rsid w:val="00F070D2"/>
    <w:rsid w:val="00F117DA"/>
    <w:rsid w:val="00F123A1"/>
    <w:rsid w:val="00F12404"/>
    <w:rsid w:val="00F12DD1"/>
    <w:rsid w:val="00F13480"/>
    <w:rsid w:val="00F14A22"/>
    <w:rsid w:val="00F15FAC"/>
    <w:rsid w:val="00F16CC2"/>
    <w:rsid w:val="00F25F16"/>
    <w:rsid w:val="00F309B8"/>
    <w:rsid w:val="00F32632"/>
    <w:rsid w:val="00F32AD4"/>
    <w:rsid w:val="00F37B9C"/>
    <w:rsid w:val="00F41E54"/>
    <w:rsid w:val="00F42BDA"/>
    <w:rsid w:val="00F50F59"/>
    <w:rsid w:val="00F52CF2"/>
    <w:rsid w:val="00F602AE"/>
    <w:rsid w:val="00F60703"/>
    <w:rsid w:val="00F6303A"/>
    <w:rsid w:val="00F6311F"/>
    <w:rsid w:val="00F63712"/>
    <w:rsid w:val="00F65C69"/>
    <w:rsid w:val="00F71661"/>
    <w:rsid w:val="00F819C4"/>
    <w:rsid w:val="00F867D6"/>
    <w:rsid w:val="00F87465"/>
    <w:rsid w:val="00F932E3"/>
    <w:rsid w:val="00F95038"/>
    <w:rsid w:val="00FA741F"/>
    <w:rsid w:val="00FB1225"/>
    <w:rsid w:val="00FB5EFF"/>
    <w:rsid w:val="00FB7971"/>
    <w:rsid w:val="00FC3175"/>
    <w:rsid w:val="00FC472F"/>
    <w:rsid w:val="00FC5FF2"/>
    <w:rsid w:val="00FD1C5E"/>
    <w:rsid w:val="00FD2C46"/>
    <w:rsid w:val="00FD3ACA"/>
    <w:rsid w:val="00FD3E96"/>
    <w:rsid w:val="00FD66EA"/>
    <w:rsid w:val="00FE0E69"/>
    <w:rsid w:val="00FE149A"/>
    <w:rsid w:val="00FE1C0C"/>
    <w:rsid w:val="00FF4F2A"/>
    <w:rsid w:val="00FF5B15"/>
    <w:rsid w:val="00FF62F1"/>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F78"/>
    <w:pPr>
      <w:tabs>
        <w:tab w:val="center" w:pos="4320"/>
        <w:tab w:val="right" w:pos="8640"/>
      </w:tabs>
    </w:pPr>
  </w:style>
  <w:style w:type="paragraph" w:styleId="Footer">
    <w:name w:val="footer"/>
    <w:basedOn w:val="Normal"/>
    <w:link w:val="FooterChar"/>
    <w:uiPriority w:val="99"/>
    <w:rsid w:val="004B7F78"/>
    <w:pPr>
      <w:tabs>
        <w:tab w:val="center" w:pos="4320"/>
        <w:tab w:val="right" w:pos="8640"/>
      </w:tabs>
    </w:pPr>
  </w:style>
  <w:style w:type="paragraph" w:styleId="BalloonText">
    <w:name w:val="Balloon Text"/>
    <w:basedOn w:val="Normal"/>
    <w:semiHidden/>
    <w:rsid w:val="00C77E16"/>
    <w:rPr>
      <w:rFonts w:ascii="Tahoma" w:hAnsi="Tahoma" w:cs="Tahoma"/>
      <w:sz w:val="16"/>
      <w:szCs w:val="16"/>
    </w:rPr>
  </w:style>
  <w:style w:type="character" w:styleId="CommentReference">
    <w:name w:val="annotation reference"/>
    <w:semiHidden/>
    <w:rsid w:val="00B44D10"/>
    <w:rPr>
      <w:sz w:val="16"/>
      <w:szCs w:val="16"/>
    </w:rPr>
  </w:style>
  <w:style w:type="paragraph" w:styleId="CommentText">
    <w:name w:val="annotation text"/>
    <w:basedOn w:val="Normal"/>
    <w:semiHidden/>
    <w:rsid w:val="00B44D10"/>
    <w:rPr>
      <w:sz w:val="20"/>
      <w:szCs w:val="20"/>
    </w:rPr>
  </w:style>
  <w:style w:type="character" w:styleId="Hyperlink">
    <w:name w:val="Hyperlink"/>
    <w:rsid w:val="00DD4E80"/>
    <w:rPr>
      <w:color w:val="0000FF"/>
      <w:u w:val="single"/>
    </w:rPr>
  </w:style>
  <w:style w:type="character" w:styleId="PageNumber">
    <w:name w:val="page number"/>
    <w:basedOn w:val="DefaultParagraphFont"/>
    <w:rsid w:val="00386C91"/>
  </w:style>
  <w:style w:type="paragraph" w:styleId="DocumentMap">
    <w:name w:val="Document Map"/>
    <w:basedOn w:val="Normal"/>
    <w:semiHidden/>
    <w:rsid w:val="008C6F59"/>
    <w:pPr>
      <w:shd w:val="clear" w:color="auto" w:fill="000080"/>
    </w:pPr>
    <w:rPr>
      <w:rFonts w:ascii="Tahoma" w:hAnsi="Tahoma" w:cs="Tahoma"/>
      <w:sz w:val="20"/>
      <w:szCs w:val="20"/>
    </w:rPr>
  </w:style>
  <w:style w:type="paragraph" w:customStyle="1" w:styleId="BulletList">
    <w:name w:val="BulletList"/>
    <w:basedOn w:val="Normal"/>
    <w:rsid w:val="006325B3"/>
    <w:pPr>
      <w:numPr>
        <w:ilvl w:val="1"/>
        <w:numId w:val="1"/>
      </w:numPr>
    </w:pPr>
  </w:style>
  <w:style w:type="paragraph" w:styleId="FootnoteText">
    <w:name w:val="footnote text"/>
    <w:basedOn w:val="Normal"/>
    <w:semiHidden/>
    <w:rsid w:val="00360849"/>
    <w:rPr>
      <w:sz w:val="20"/>
      <w:szCs w:val="20"/>
    </w:rPr>
  </w:style>
  <w:style w:type="character" w:styleId="FootnoteReference">
    <w:name w:val="footnote reference"/>
    <w:semiHidden/>
    <w:rsid w:val="00360849"/>
    <w:rPr>
      <w:vertAlign w:val="superscript"/>
    </w:rPr>
  </w:style>
  <w:style w:type="paragraph" w:styleId="ListParagraph">
    <w:name w:val="List Paragraph"/>
    <w:basedOn w:val="Normal"/>
    <w:uiPriority w:val="34"/>
    <w:qFormat/>
    <w:rsid w:val="00E06909"/>
    <w:pPr>
      <w:ind w:left="720"/>
      <w:contextualSpacing/>
    </w:pPr>
  </w:style>
  <w:style w:type="character" w:customStyle="1" w:styleId="FooterChar">
    <w:name w:val="Footer Char"/>
    <w:basedOn w:val="DefaultParagraphFont"/>
    <w:link w:val="Footer"/>
    <w:uiPriority w:val="99"/>
    <w:rsid w:val="00CC221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F78"/>
    <w:pPr>
      <w:tabs>
        <w:tab w:val="center" w:pos="4320"/>
        <w:tab w:val="right" w:pos="8640"/>
      </w:tabs>
    </w:pPr>
  </w:style>
  <w:style w:type="paragraph" w:styleId="Footer">
    <w:name w:val="footer"/>
    <w:basedOn w:val="Normal"/>
    <w:link w:val="FooterChar"/>
    <w:uiPriority w:val="99"/>
    <w:rsid w:val="004B7F78"/>
    <w:pPr>
      <w:tabs>
        <w:tab w:val="center" w:pos="4320"/>
        <w:tab w:val="right" w:pos="8640"/>
      </w:tabs>
    </w:pPr>
  </w:style>
  <w:style w:type="paragraph" w:styleId="BalloonText">
    <w:name w:val="Balloon Text"/>
    <w:basedOn w:val="Normal"/>
    <w:semiHidden/>
    <w:rsid w:val="00C77E16"/>
    <w:rPr>
      <w:rFonts w:ascii="Tahoma" w:hAnsi="Tahoma" w:cs="Tahoma"/>
      <w:sz w:val="16"/>
      <w:szCs w:val="16"/>
    </w:rPr>
  </w:style>
  <w:style w:type="character" w:styleId="CommentReference">
    <w:name w:val="annotation reference"/>
    <w:semiHidden/>
    <w:rsid w:val="00B44D10"/>
    <w:rPr>
      <w:sz w:val="16"/>
      <w:szCs w:val="16"/>
    </w:rPr>
  </w:style>
  <w:style w:type="paragraph" w:styleId="CommentText">
    <w:name w:val="annotation text"/>
    <w:basedOn w:val="Normal"/>
    <w:semiHidden/>
    <w:rsid w:val="00B44D10"/>
    <w:rPr>
      <w:sz w:val="20"/>
      <w:szCs w:val="20"/>
    </w:rPr>
  </w:style>
  <w:style w:type="character" w:styleId="Hyperlink">
    <w:name w:val="Hyperlink"/>
    <w:rsid w:val="00DD4E80"/>
    <w:rPr>
      <w:color w:val="0000FF"/>
      <w:u w:val="single"/>
    </w:rPr>
  </w:style>
  <w:style w:type="character" w:styleId="PageNumber">
    <w:name w:val="page number"/>
    <w:basedOn w:val="DefaultParagraphFont"/>
    <w:rsid w:val="00386C91"/>
  </w:style>
  <w:style w:type="paragraph" w:styleId="DocumentMap">
    <w:name w:val="Document Map"/>
    <w:basedOn w:val="Normal"/>
    <w:semiHidden/>
    <w:rsid w:val="008C6F59"/>
    <w:pPr>
      <w:shd w:val="clear" w:color="auto" w:fill="000080"/>
    </w:pPr>
    <w:rPr>
      <w:rFonts w:ascii="Tahoma" w:hAnsi="Tahoma" w:cs="Tahoma"/>
      <w:sz w:val="20"/>
      <w:szCs w:val="20"/>
    </w:rPr>
  </w:style>
  <w:style w:type="paragraph" w:customStyle="1" w:styleId="BulletList">
    <w:name w:val="BulletList"/>
    <w:basedOn w:val="Normal"/>
    <w:rsid w:val="006325B3"/>
    <w:pPr>
      <w:numPr>
        <w:ilvl w:val="1"/>
        <w:numId w:val="1"/>
      </w:numPr>
    </w:pPr>
  </w:style>
  <w:style w:type="paragraph" w:styleId="FootnoteText">
    <w:name w:val="footnote text"/>
    <w:basedOn w:val="Normal"/>
    <w:semiHidden/>
    <w:rsid w:val="00360849"/>
    <w:rPr>
      <w:sz w:val="20"/>
      <w:szCs w:val="20"/>
    </w:rPr>
  </w:style>
  <w:style w:type="character" w:styleId="FootnoteReference">
    <w:name w:val="footnote reference"/>
    <w:semiHidden/>
    <w:rsid w:val="00360849"/>
    <w:rPr>
      <w:vertAlign w:val="superscript"/>
    </w:rPr>
  </w:style>
  <w:style w:type="paragraph" w:styleId="ListParagraph">
    <w:name w:val="List Paragraph"/>
    <w:basedOn w:val="Normal"/>
    <w:uiPriority w:val="34"/>
    <w:qFormat/>
    <w:rsid w:val="00E06909"/>
    <w:pPr>
      <w:ind w:left="720"/>
      <w:contextualSpacing/>
    </w:pPr>
  </w:style>
  <w:style w:type="character" w:customStyle="1" w:styleId="FooterChar">
    <w:name w:val="Footer Char"/>
    <w:basedOn w:val="DefaultParagraphFont"/>
    <w:link w:val="Footer"/>
    <w:uiPriority w:val="99"/>
    <w:rsid w:val="00CC2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4971">
      <w:bodyDiv w:val="1"/>
      <w:marLeft w:val="0"/>
      <w:marRight w:val="0"/>
      <w:marTop w:val="0"/>
      <w:marBottom w:val="0"/>
      <w:divBdr>
        <w:top w:val="none" w:sz="0" w:space="0" w:color="auto"/>
        <w:left w:val="none" w:sz="0" w:space="0" w:color="auto"/>
        <w:bottom w:val="none" w:sz="0" w:space="0" w:color="auto"/>
        <w:right w:val="none" w:sz="0" w:space="0" w:color="auto"/>
      </w:divBdr>
    </w:div>
    <w:div w:id="576863495">
      <w:bodyDiv w:val="1"/>
      <w:marLeft w:val="0"/>
      <w:marRight w:val="0"/>
      <w:marTop w:val="0"/>
      <w:marBottom w:val="0"/>
      <w:divBdr>
        <w:top w:val="none" w:sz="0" w:space="0" w:color="auto"/>
        <w:left w:val="none" w:sz="0" w:space="0" w:color="auto"/>
        <w:bottom w:val="none" w:sz="0" w:space="0" w:color="auto"/>
        <w:right w:val="none" w:sz="0" w:space="0" w:color="auto"/>
      </w:divBdr>
    </w:div>
    <w:div w:id="648553134">
      <w:bodyDiv w:val="1"/>
      <w:marLeft w:val="0"/>
      <w:marRight w:val="0"/>
      <w:marTop w:val="0"/>
      <w:marBottom w:val="0"/>
      <w:divBdr>
        <w:top w:val="none" w:sz="0" w:space="0" w:color="auto"/>
        <w:left w:val="none" w:sz="0" w:space="0" w:color="auto"/>
        <w:bottom w:val="none" w:sz="0" w:space="0" w:color="auto"/>
        <w:right w:val="none" w:sz="0" w:space="0" w:color="auto"/>
      </w:divBdr>
    </w:div>
    <w:div w:id="1011373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3686">
          <w:marLeft w:val="0"/>
          <w:marRight w:val="0"/>
          <w:marTop w:val="0"/>
          <w:marBottom w:val="0"/>
          <w:divBdr>
            <w:top w:val="none" w:sz="0" w:space="0" w:color="auto"/>
            <w:left w:val="none" w:sz="0" w:space="0" w:color="auto"/>
            <w:bottom w:val="none" w:sz="0" w:space="0" w:color="auto"/>
            <w:right w:val="none" w:sz="0" w:space="0" w:color="auto"/>
          </w:divBdr>
        </w:div>
      </w:divsChild>
    </w:div>
    <w:div w:id="1141727910">
      <w:bodyDiv w:val="1"/>
      <w:marLeft w:val="0"/>
      <w:marRight w:val="0"/>
      <w:marTop w:val="0"/>
      <w:marBottom w:val="0"/>
      <w:divBdr>
        <w:top w:val="none" w:sz="0" w:space="0" w:color="auto"/>
        <w:left w:val="none" w:sz="0" w:space="0" w:color="auto"/>
        <w:bottom w:val="none" w:sz="0" w:space="0" w:color="auto"/>
        <w:right w:val="none" w:sz="0" w:space="0" w:color="auto"/>
      </w:divBdr>
      <w:divsChild>
        <w:div w:id="421069345">
          <w:marLeft w:val="0"/>
          <w:marRight w:val="0"/>
          <w:marTop w:val="0"/>
          <w:marBottom w:val="0"/>
          <w:divBdr>
            <w:top w:val="none" w:sz="0" w:space="0" w:color="auto"/>
            <w:left w:val="none" w:sz="0" w:space="0" w:color="auto"/>
            <w:bottom w:val="none" w:sz="0" w:space="0" w:color="auto"/>
            <w:right w:val="none" w:sz="0" w:space="0" w:color="auto"/>
          </w:divBdr>
        </w:div>
      </w:divsChild>
    </w:div>
    <w:div w:id="1867060779">
      <w:bodyDiv w:val="1"/>
      <w:marLeft w:val="0"/>
      <w:marRight w:val="0"/>
      <w:marTop w:val="0"/>
      <w:marBottom w:val="0"/>
      <w:divBdr>
        <w:top w:val="none" w:sz="0" w:space="0" w:color="auto"/>
        <w:left w:val="none" w:sz="0" w:space="0" w:color="auto"/>
        <w:bottom w:val="none" w:sz="0" w:space="0" w:color="auto"/>
        <w:right w:val="none" w:sz="0" w:space="0" w:color="auto"/>
      </w:divBdr>
    </w:div>
    <w:div w:id="19402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0354CA-7387-497C-8760-4329DD4895D3}">
  <ds:schemaRefs>
    <ds:schemaRef ds:uri="http://schemas.microsoft.com/office/2006/metadata/properties"/>
  </ds:schemaRefs>
</ds:datastoreItem>
</file>

<file path=customXml/itemProps2.xml><?xml version="1.0" encoding="utf-8"?>
<ds:datastoreItem xmlns:ds="http://schemas.openxmlformats.org/officeDocument/2006/customXml" ds:itemID="{6F43B3AD-9DE7-4787-8B22-5911F69BE7E7}">
  <ds:schemaRefs>
    <ds:schemaRef ds:uri="http://schemas.microsoft.com/sharepoint/v3/contenttype/forms"/>
  </ds:schemaRefs>
</ds:datastoreItem>
</file>

<file path=customXml/itemProps3.xml><?xml version="1.0" encoding="utf-8"?>
<ds:datastoreItem xmlns:ds="http://schemas.openxmlformats.org/officeDocument/2006/customXml" ds:itemID="{49B9E3B3-E23E-46C4-89AF-AA53CEF65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NAME OF EVENT/ MEETING/ CALL</vt:lpstr>
    </vt:vector>
  </TitlesOfParts>
  <Company>Department of Homeland Security</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EVENT/ MEETING/ CALL</dc:title>
  <dc:creator>Jordan Mitchell Grossman</dc:creator>
  <cp:lastModifiedBy>Scott Case</cp:lastModifiedBy>
  <cp:revision>2</cp:revision>
  <cp:lastPrinted>2012-11-19T16:58:00Z</cp:lastPrinted>
  <dcterms:created xsi:type="dcterms:W3CDTF">2014-06-01T14:41:00Z</dcterms:created>
  <dcterms:modified xsi:type="dcterms:W3CDTF">2014-06-01T14:41:00Z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Simplified Entry</vt:lpwstr>
  </property>
  <property fmtid="{D5CDD505-2E9C-101B-9397-08002B2CF9AE}" pid="3" name="Document Type">
    <vt:lpwstr>Briefing Memo</vt:lpwstr>
  </property>
</Properties>
</file>